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111</w:t>
      </w:r>
    </w:p>
    <w:p>
      <w:r>
        <w:rPr>
          <w:b/>
        </w:rPr>
        <w:t xml:space="preserve">Datum: </w:t>
      </w:r>
      <w:r>
        <w:t>1909-04-23</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Johan Fredrik Nyström (Första kammarens nationella parti, man)</w:t>
      </w:r>
    </w:p>
    <w:p>
      <w:r>
        <w:rPr>
          <w:b w:val="0"/>
        </w:rPr>
        <w:t>Jag begärde ordet, då jag hörde herr Lindblad uppläsa den skrifvelse, han emottagit 1 denna fråga. Jag kan icke med tystnad lämna den att förvaras till kammarens protokoll, ty den innehåller verkligen sådana saker, att jag tycker den ärade talare, som läste upp den, borde hafva tvekat att åt dessa uttalanden bereda ett sådant förvaringsrum. Jag protesterar mot att på detta sätt rena oförsyntheter af anonyma personer intagas i Riksdagens protokoll.</w:t>
        <w:br/>
        <w:br/>
        <w:t>Men jag vill, etter jag fått ordet, säga några ord äfven om själfva saken. Vi äro allesammans ense om, att rättskrifningen är något som utvecklas. Under denna utveckling måste förr eller senare det ögonblick komma, då man måste säga till dem, som</w:t>
        <w:br/>
        <w:br/>
        <w:t>till något nytt, som under tiden arbetat sig fram. Därom, skulle jag tro, äro vi alla ense. Frågan blir då: hvem skall säga detta?</w:t>
        <w:br/>
        <w:br/>
        <w:t>språkets form. Utskottets reservanter anse, att Riksdagen skall säga det, men</w:t>
        <w:br/>
        <w:br/>
        <w:t xml:space="preserve">utskottet anser, att det skall Kungl. Maj:t säga. I regel bruka vi, åtminstone i denna kammare, anse, att det är Kungl. Maj:t, som skall anföra svenska folket åt både den ena och andra riktningen, och följaktligen borde i enlighet med denna princip Kungl. Maj:t vara den, som skulle sitta och vakta på, huru tidens ur går fram, och säga, när klockan är slagen, när något nytt skall mträda. I själfva verket är det alldeles orimligt, att Riksdagen skall besluta i denna sak. Riksdagen består af 380 personer, af hvilka man kan antaga, att det icke finnes två, som stafva identiskt lika. Huru skall man då få fram ett riksdagsbeslut i en stafningsfråga, isynnerhet om det härvid skall bestämmas så detaljeradt, som motionärerna vilja? Det är alldeles omöjligt. Här bör nämligen makten att besluta ligga hos en myndighet, och denna myndighet är Kungl. Maj:t. Det är emellertid alldeles gifvet, att då Kungl. Maj:t fattar ett beslut i en rättskrifningsfråga, kommer han alltid att besluta något, som ligger längre fram i utvecklingen än många af oss gamla herrar kommit till, men det kan icke vara på annat vis, ty man kan icke vänta att alla, som skrifva svenskt språk, skola följas åt i sin utveckling med afseende å rättstafningen. Jag skall taga ett exempel. För många år sedan var 1 vårt land en mycket liflig strid, huruvida man skulle stafva </w:t>
      </w:r>
      <w:r>
        <w:rPr>
          <w:b/>
        </w:rPr>
        <w:t>kvinna¹</w:t>
      </w:r>
      <w:r>
        <w:rPr>
          <w:b w:val="0"/>
        </w:rPr>
        <w:t xml:space="preserve"> med k eller q, och alla argument, som anföras i dag till förmån för reservanternas förslag, anfördes då med kanske ännu större skicklighet och kläm af Sveriges största språkforskare på sin tid mot att man skulle lägga bort q och använda k. Här kan man se, hvad en normalt utvecklad opinion kan verka, enär vi alla nu hafva öfvergått till stafning med k. Jag för min del är icke säker på att stafningen med k blifvit så allmän, som den nu är, om det icke kommit befallning till skolorna, att de skulle använda ki stället för qg. Det var svenska akademien, som då förde ordet, men svenska akademiens beslutanderätt anser jag i detta fall ännu mindre betryggande än Kungl. Maj:ts. Kungl. Maj:t har icke tillåtit sig en sådan våldsamhet, som svenska akademien gjorde i sjunde upplagan af sin ordlista, där den till och med tillät sig att ändra beteckningen af vårt fäderneslands namn. Må vara att ett och annat af den sista språkukasen kunnat verka stötande, att den ännu i dag af oss i regeln icke blifvit smält eller godkänd, men i det stora hela går denna förändring i fullt historisk riktning. Den fortsätter en utveckling, som har börjat långt förut, och denna utveckling har äfven utan kungliga förordningar och akademiens beslut gått så grundligt tillväga, att om, såsom jag en gång i ett föredrag hörde, man jämför en sida i den först utgifna upplagan af Bell-</w:t>
        <w:br/>
        <w:br/>
        <w:t>mans dikter med en sida i den på 90-talet, alltså före denna ukas, Ifrågasatt tryckta, skall man på denna sida kunna finna ungefär hundra grundlags- ” NS « . skydd för olikheter mellan de bägge upplagorna. Så har utvecklingen gått, ,,enska skriftoch den kommer att fortsätta i samma riktning mot ett förenkspråkets form. ladt skrifsätt. Det var ett steg i den riktningen, som man tog = (Forts.) med beslutet af 1906. Att detta för öfrigt icke alls har tillkommit för att gagna lata lärare och lata skolpojkar, skall jag icke göra mig mödan att bevisa, men jag vill däremot påstå och kan af egen lärareerfarenhet intyga, att genom denna stafningsukas verkligen staffelen i skolgossarnas skripta betydligt minskats, och vidare vill jag säga, att bestämmelserna i denna förordning också hafva accepterats med synnerligt nöje af hela den yngre generationen. Antingen vi således uttala oss och afgifva en opinionsyttring för eller emot, kommer nästa generation att stafva på det sätt, denna förordning bestämmer. Men att afgifva en opinionsyttring, såsom den siste talaren önskade, mot något, som at händelsernas egen utveckling visar sig vara riktigt och sundt, tycker jag är något som strider emot sundt politiskt förnuft, ty det kan aldrig vara politiskt klokt att sätta sig upp emot en utveckling, som är normal och går sin väg fram, antingen man ropar emot den eller icke. Jag kan icke heller underlåta att göra en annan anmärkning emot den diskussion, som blifvit förd. Här har ideligen talats om språket och språkets fördärfvande genom förändringar 1 skrifsättet. Det finns språk, som icke alls hafva skrifven litteratur, och äfven sådana språk skulle kunna tänkas blifva fördärfvade, men tydligen kan detta icke bero på stafningssättet. I själfva verket är språket och dess skriftliga beteckning två olika saker, och här gäller frågan ändringar, som göras i sättet att skriftli- "gen uttrycka språket. Att söka behålla det gamla beteckningssättet utan hänsyn till språkets nuvarande uttal, det är att vilja i vårt land åstadkomma samma besynnerliga skrifsätt, som till exempel i England, och kan icke anses vidare önskvärdt utan tvärtom raka motsatsen. Det riktiga är naturligtvis, att skriftspråket smyger sig efter uttalet så mycket som möjligt. Det kan icke ske fullständigt, ty språket uttalas icke på samma sätt inom alla delar af vårt land, men det finnes dock ett uttal, som är allmänt bland de bildade, och ju mer skrifsättet smyger sig efter detta uttal, desto riktigare är det. Att under sådana förhållanden tala om att språket fördärfvas är naturligtvis nonsens. Här kan icke ens talas om att språkets skriftliga uttryckssätt fördärfvas, ty i själfva verket förbättras detta hvarje gång man tager ett steg, som närmar de båda sakerna, uttalet af språket och detta uttals uttryckande i skrift, till hvarandra. Att på något vis gifva en opinionsyttring emot denna utveckling kan jag för min del icke vara med om, och jag ber således att få yrka bifall till utskottets hemställan.</w:t>
      </w:r>
    </w:p>
    <w:p>
      <w:pPr>
        <w:pStyle w:val="Heading2"/>
      </w:pPr>
      <w:r>
        <w:t>2. Karl Hildebrand (Första kammarens moderata parti, man)</w:t>
      </w:r>
    </w:p>
    <w:p>
      <w:r>
        <w:rPr>
          <w:b w:val="0"/>
        </w:rPr>
        <w:t xml:space="preserve">Jag är alldeles öfverens med de talare, som ansågo, »att förändringar i stafningssättet böra ske med stor försiktighet och efter noggrann pröfning», och tror, att med 1906 års bestämmelser hade kunnat väntas något, samt att de kunde hafva varit mindre omfattande, när de skulle komma. Men jag kan omöjligt tänka mig, att den form, som af motionärerna föreslagits för att få fram den nödvändiga betänksamheten, skulle vara den riktiga. Ser man på deras förslag till formulering af $ 79 regeringsformen, så heter det där, att &gt;ingen förändring af rikets vapen eller flagga bör göras ej heller någon bestämmelse om svenska skriftspråkets form eller beteckningssätt meddelas utan Riksdagens samtycke.» Här råder tydligen en oerhörd principiell ooh praktisk olikbet. Statsmakterna kunna skaffa skydd för sitt beslut rörande riksvapnet eller rikets flagga; den, som missbrukar rikets vapen eller för oriktig flagga, kan ådraga sig och ådrager sig viss påföljd. Men statsmakterna kunna, synes det mig, omöjligen stadga, att hvarje svensk man och </w:t>
      </w:r>
      <w:r>
        <w:rPr>
          <w:b/>
        </w:rPr>
        <w:t>kvinna¹</w:t>
      </w:r>
      <w:r>
        <w:rPr>
          <w:b w:val="0"/>
        </w:rPr>
        <w:t xml:space="preserve"> skall använda ett bestämdt stafningssätt, eller att, om de icke så göra, viss påföljd skall inträda. Hvad statsmakterna kunna göra, är endast att bestämma öfver stafningssättet i statens undervisningsanstalter, i ämbetsverken och i Riksdagens tryck. Men huru stafningssättet kommer att vara utanför denna jämförelsevis trånga krets, därom kunna de bestämmelser, som utfärdas af Kungl. Maj:t med Riksdagens bifall, på sin höjd vara vägledande, de kunna icke vara bestämmande. Skulle man därför få en sådan utveckling, att, om detta förslag ginge igenom, af den allmänna mevingen omfattade förändringar i skriftspråket icke skulle kunna genomföras, då skulle man löpa den oerhörda risken, att det blefve ett stafningssätt inom statens undervisningsanstalter, hos Riksdagen och i ämbetsverken och ett annat stafningssätt i tidningsprässen, i skönlitteraturen samt större delen af svenska litteraturen. Och detta senare stafningssätt komme dock småningom att användas af den största delen utaf svenska folket. Jag tror icke att en sådan eventualitet är lockande, och det förefaller mig, att man icke bör igångsätta en sådan apparat, som att båda statsmakterna, Kungl. Maj:t och Riksdag, skola vara med om bestämmelser, som endast skulle gälla inom ett mycket begränsadt område. Det synes mig, att statsmakternas uppträdande bör påkallas i mer omfattande och ur statsintressets synpunkt viktigare fall än detta.</w:t>
        <w:br/>
        <w:br/>
        <w:t>Herr vice talmannen har visserligen sagt, att ingenting nu kan definitivt bestämmas, men att kammaren här borde godkänna motionen för att därmed afgifva en opinionsyttring. Jag har varit nödgad att så många gånger offentligen 1 min tidning uttala mig mot beslut från andra håll uteslutande för att gifva en opinionsyttring, att jag för min del omöjligen kan, herr talman, ur denna synpunkt lämna min röst för motionen, och jag anhåller därför att få tillstyrka bifall till utskottets förslag.</w:t>
      </w:r>
    </w:p>
    <w:p>
      <w:pPr>
        <w:pStyle w:val="Heading2"/>
      </w:pPr>
      <w:r>
        <w:t>3. Teofron Säve (–, man)</w:t>
      </w:r>
    </w:p>
    <w:p>
      <w:r>
        <w:rPr>
          <w:b w:val="0"/>
        </w:rPr>
        <w:t>Jag anhåller att få tillägga ett par ord till mitt Ifrågasatt</w:t>
        <w:br/>
        <w:br/>
        <w:t>förra yttrande; dock är jag delvis förekommen af herr Hildegrundlager brand. Jag hade velat påpeka, att sådana fall skulle kunna svenska skriftinträffa, därest Riksdagen finge medbestämmanderätt i lagstiftspråkets form. ningen för svenska språkets stafning, att man kunde få två slags (Forts.) stafningssätt. Ty det torde icke blifva så lätt att genomföra enighet med afseende på denna stafning. Det är icke sagdt, att Riksdag och Kungl. Maj:t komme öfverens, och det är visst icke sagdt, att det heller blefve lätt att förena Riksdagens båda kamrar om en och samma mening. Det hafva vi just här i Första Kammaren fått göra erfarenhet om. Jag ber att få erinra om hvad som passerade 1902. Då följde man ännu i riksdagstrycket det gamla stafningssättet, som användes på 60- och 70-talet. Man följde de äldsta upplagorna af svenska akademiens ordlista, men en stor del af den bildade allmänheten, pressen och litteraturen hade redan sedan länge gått öfver till ett mera modernt stafningssätt. Då tilläto sig friherre von Kremer och jag att i denna kammare väcka en motion, som gick ut på, att Riksdagen skulle i sitt tryck följa det stafningssätt, som användes i svenska akademiens ordlista, 6:te upplagan. Första Kammaren behagade härtill gifva sitt samtycke, och motionen remitterades till Andra Kammaren, men här afslogs den eget nog på grund af ett anförande af herr Hedin, som i denna fråga visade sig ultrakonservativ. Kungl. Maj:t behagade emellertid fästa sin uppmärksamhet på själfva frågan, och så följde 1902 års bekanta rättstafningscirkulär till ämbetsverken, som motionärerna låtit bifoga sin motion. Carl von Friesen var då ecklesiastikminister. Nu var frågan löst, ty efter denna tid följdes i Riksdagen svenska akademiens ordlista, sjunde upplagan, liksom äfven i allmänhet af myndigheterna och ämbetsverken. På detta sätt fick man enighet i stafningssättet. Hade då den lag varit genomförd, som de ärade motionärerna nu vilja införa i grundlagen, så hade en sådan enighet omöjligen kunnat komma till stånd. Kammare hade stått mot kammare, och följden hade blifvit den, att Riksdagen, statsdepartementen och de under statsdepartementen stående ämbetsverken i sina skrifvelser fortfarande följt fjärde och femte upplagorna af akademiens ordlista, men största delen af den bildade allmänheten, pressen, litteraturen och vetenskapsmännen följt ett helt annat och modernare stafningssätt. Detta kunde icke hafva varit önskvärdt.</w:t>
        <w:br/>
        <w:br/>
        <w:t>Jag skall också be att få fästa uppmärksamheten på en annan sak. Språkets historia visar oss icke sällan, att vid en viss gifven tidpunkt man i afseende på stafningen af vissa ord återgår till ett äldre tiders såsom riktigare befunnet stafningssätt.</w:t>
        <w:br/>
        <w:br/>
        <w:t>De äldre af oss här i kammaren torde mycket väl kunna erinra sig, att man på G60-talet använde dubbel konsonantbeteckniag framför verbaländelserna de och te, att t. ex. ordet ställde</w:t>
        <w:br/>
        <w:br/>
        <w:t>stafvades med två I. Så kom det nordiska rättstafningsmötet 1869 till stånd, hvarvid nystafvaren Artur Hazelius, hvars kärlek för svenska språket näppeligen någon sätter i tvifvel, yrkade på en enkel beteckning af konsonanterna, sålunda ställde med ett l. Det blef också vedertaget äfven i svenska akademiens ordlistas äldre upplagor. Nu har svenska akademien kastat om och öfvergått till dubbel beteckning af 1-ljudet i stammen och sålunda stafvas ställde i sjunde upplagan af akademiens ordlista efter riktigare grunder med två I på samma sätt som på 60-talet. Jag ber att få tillämpa detta här. Många anmärkningar har man gjort emot 1906 års s. k. rättstafningsukas. Jag tycker icke heller om allt, som står i denna, och skulle icke hafva något emot om en återgång kunde ske i ett och annat. Mina herrar, en sådan återgång är möjlig, därest Kungl. Maj:t är den, som utöfvar högsta lagstiftningsmakten i afseende på svenska språkets stafning i undervisningsanstalterna, men skulle motionen antagas, är en sådan återgång exempelvis i fråga om då i stället för tt, hvad som i cirkuläret framkallat största förargelsen, icke möjlig. Ty alldeles gifvet är, att en majoritet i Andra Kammaren näppeligen skulle kunna vinnas för en sådan återgång. Det skulle vara detsamma som att denna majoritet skulle desaouvera den minister, som kontrasignerade 1906 års cirkulär.</w:t>
        <w:br/>
        <w:br/>
        <w:t xml:space="preserve">Jag vill icke besvära herrarne med att låta eder höra några ytterligare inlägg i rättstafningsfrågan, ty ni hafva hört redan tillräckligt däraf. Så mycket vill jag, liksom herr Johan Fredrik Nyström för en stund sedan, dock framhålla, att den riktning, som utvecklingen på stafningsområdet tagit, är en gång för alla gifven. Jag vågar påstå, att den var gifven redan för 150 år sedan, och den gick redan då ut på, att den fonetiska principen 1 stafningssättet skall efter hand undantränga den etymologiska. Den förste, som med erforderligt eftertryck fastslog den fonetiska principen i vårt land, var Sveriges störste språkforskare Ihre, och han gjorde det, då han skref: »Såsom orden äro en afbild af wåra tankar, så äro bokstäfwerne afbilder af orden; ju närmare altså målningen liknar thet </w:t>
      </w:r>
      <w:r>
        <w:rPr>
          <w:b/>
        </w:rPr>
        <w:t>hon²</w:t>
      </w:r>
      <w:r>
        <w:rPr>
          <w:b w:val="0"/>
        </w:rPr>
        <w:t xml:space="preserve"> skall föreställa, thess bättre gör </w:t>
      </w:r>
      <w:r>
        <w:rPr>
          <w:b/>
        </w:rPr>
        <w:t>hon²</w:t>
      </w:r>
      <w:r>
        <w:rPr>
          <w:b w:val="0"/>
        </w:rPr>
        <w:t xml:space="preserve"> sin tjänst, och therföre hafwer thenna satsen sin riktiga grund, att hvad örat hörer, bör ock ögat 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