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117</w:t>
      </w:r>
    </w:p>
    <w:p>
      <w:r>
        <w:rPr>
          <w:b/>
        </w:rPr>
        <w:t xml:space="preserve">Datum: </w:t>
      </w:r>
      <w:r>
        <w:t>1909-05-12</w:t>
      </w:r>
    </w:p>
    <w:p>
      <w:r>
        <w:rPr>
          <w:b/>
        </w:rPr>
        <w:t xml:space="preserve">Kammare: </w:t>
      </w:r>
      <w:r>
        <w:t>Första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Fredrik Pettersson (Första kammarens protektionistiska parti, man)</w:t>
      </w:r>
    </w:p>
    <w:p>
      <w:r>
        <w:rPr>
          <w:b w:val="0"/>
        </w:rPr>
        <w:t>Den punkt, som nu är före, torde icke vara någon sådan hörnsten i vare sig det kungl. förslaget eller utskottets behandling af saken, att den icke kan stå eller falla oberoende af huru beslutet kommer att blifva i denna punkt, men då jag skrifvit under betänkandet i den form det föreligger, ber jag att få gifva skäl hvarför jag så gjort.</w:t>
        <w:br/>
        <w:br/>
        <w:t>Jag ber då att till deras rätta dimensioner få reducera de betänkligheter, de tvänne föregående talarne här hafva uttalat; dessa gälla” de 22 samskolorna, af hvilka några föra ett så tynande lif, att det är fråga värdt, huruvida det verkligen kan anses vara ett statsintresse att understödja dem medelst anslag. En dylik skola till exempel med 3 elever i en klass och 3 i en annan åtnjuter statsanslag; en annan har 10 i ena och 4 i den andra klassen, och på detta sätt skulle man kunna gå igenom en hel del. Men dessa skolor hafva i alla fall sitt berättigande, och det borde nog tagas mer hänsyn till nu anförda betänkligheter, om det vore fråga om att indraga dessa skolor, men så är icke meningen; meningen är att gifva dem en lämplig öfvergångstid, som enligt utskottets förslag är satt till 5 år, hvarunder de hafva tillfälle att ombilda sig till en ny form, hvarefter de säkerligen komme att verka bättre till förmån för det samhälle, där de nu arbeta såsom parallellskolor vid sidan af folkskolorna, så att man i stället för tvänne sådana kanske tynande läroverk genom bådas sammanslagning finge en läroverkstyp, som bättre kunde tillgodose samhällets intressen. Det är ju så, att vid alla organisationer förekomma en hel del tvifvelsamma fall, gränsfall, som man icke vet, huru man skall behandla. Men då</w:t>
        <w:br/>
        <w:br/>
        <w:t>är frågan: skall man låta dessa 22 samskolor alltid stå kvar? Dessa Om stats:</w:t>
        <w:br/>
        <w:br/>
        <w:t>äro skolor af en typ, som Riksdagen alltid sökt begränsa, och enligt tnderaröd iu es . . ö . - ommunata</w:t>
        <w:br/>
        <w:br/>
        <w:t>kas till samhällen, där allmänt läroverk för gossar ej finnes och som läroanstalter.</w:t>
        <w:br/>
        <w:br/>
        <w:t xml:space="preserve">stöd från anslaget till högre skolor för </w:t>
      </w:r>
      <w:r>
        <w:rPr>
          <w:b/>
        </w:rPr>
        <w:t>kvinnlig¹</w:t>
      </w:r>
      <w:r>
        <w:rPr>
          <w:b w:val="0"/>
        </w:rPr>
        <w:t xml:space="preserve"> ungdom. Jag betonar</w:t>
        <w:br/>
        <w:br/>
        <w:t>ytterligare, att meningen icke är att omintetgöra dessa skolor utan</w:t>
        <w:br/>
        <w:br/>
        <w:t>endast att gifva dem en lämplig öfvergångstid för att kunna öfvergå</w:t>
        <w:br/>
        <w:br/>
        <w:t>till den skolform, som vi hafva ansett bättre och fullständigare kunna</w:t>
        <w:br/>
        <w:br/>
        <w:t>fylla de kraf, som ställas på densamma.</w:t>
      </w:r>
    </w:p>
    <w:p>
      <w:pPr>
        <w:pStyle w:val="Heading2"/>
      </w:pPr>
      <w:r>
        <w:t>2. unknown (–, –)</w:t>
      </w:r>
    </w:p>
    <w:p>
      <w:r>
        <w:rPr>
          <w:b w:val="0"/>
        </w:rPr>
        <w:t xml:space="preserve">Såvida man vill hafva någon förhoppning om att kammarens ledamöter skola höra på diskussionen i en fråga som denna, bör man så mycket som möjligt undvika pedagogiken. Därför skall jag icke heller inlåta mig på pedagogiska frågor, men vill blott fästa uppmärksamheten på hvad hela detta betänkande hänger på, och det är de små orden i Andra Kammarreservationen: »vid bifall till det och det». Hvad innebär detta villkor i fråga om den nu föredragna punkten? Jo det innebär, att man för att kunna gå ett steg framåt på den väg, som leder till upphäfvande af skillnaden mellan folkskollärare och lärarne vid de allmänna läroverken, skall vägra </w:t>
      </w:r>
      <w:r>
        <w:rPr>
          <w:b/>
        </w:rPr>
        <w:t>flickskolorna²</w:t>
      </w:r>
      <w:r>
        <w:rPr>
          <w:b w:val="0"/>
        </w:rPr>
        <w:t xml:space="preserve"> vid de enskilda läroanstalterna de för dem behöfliga anslagen. Det är hela historien, och då jag är viss på, att Första Kammaren icke anser det vara rättvist, ber jag att få yrka bifall till den föredragna punkten.</w:t>
        <w:br/>
        <w:br/>
        <w:t>Jag vill blott i afseende å hela denna stora och långa punkt vara med om förändring af ett stycke, och det i öfverensstämmelse med friherre Flemings reservation. Den, som så länge som jag suttit i andra utgiftsafdelningen af statsutskottet, vet, huru många gånger denna fråga varit uppe, och huru ofta man försökt taga lifvet af dessa samskolor i våra småstäder samt göra dem till folkskolor. Det har varit en ledande princip härvidlag, och samma tendens, samma ledning är det, som nu gör sig gällande i alla Andra Kammarreservartionerna. Man vill icke låta dessa små samskolor lefva, därför att de icke äro folkskolor. Jag har alltid varit motståndare till dessa försök, och det är jag också i dag. Det synes mig, som om en enkel rättvisa kräfde att låta dessa skolor lefva, så länge de kunna lefva, det vill säga, så länge vederbörande samhällen anse sig i dem hafva en skolform, som är för dem hälsosam. De hafva delvis kommit till, därför att staten i vissa samhällen indragit vissa läroverk. Hvarför kunna de då icke få lefva, då de anses såsom de för samhällena förmånligaste? Nu säger den siste talaren, att de skola få lefva under öfvergångstiden och sedan få komma fram i bättre form såsom enskilda mellanskolor. Ja, det säger utskottets ordförande: han må ju hafva sin uppfattning, och andra må äfven hafva sin uppfattning, men nog kan man låta dessa samhällen själfva få afgöra, hvilken skolform för dem är den önskligaste. Om det nu är såsom utskottets ordförande säger, att den nya föreslagna skolformen är bättre, så skola väl dessa samhällen själfva, inse det och vara med på förändringen, men hvarför skall man sätta 1914 såsom dödsåret för samskolorna, äfven om vederbörande sam-</w:t>
        <w:br/>
        <w:br/>
        <w:t>hällen önska få behålla dem? Jag kan icke förstå, att det föreligger något som helst tvång härför, eller att det finnes någon rättvisa häri, och det vill jag påpeka, att det för dessa småsamhällen icke är så lätt att ändra om sin skolorganisation. De hafva nu lokaler, som passa för denna, och hafva anställt lärare, som äro lämpliga för densamma, men det går icke lätt att skaffa sig nya lämpliga lokaler eller afskeda nuvarande lärare och anställa nya. Jag ber därför få yrka bifall till punkten i enlighet med den af friherre Fleming gjorda reservationen.</w:t>
      </w:r>
    </w:p>
    <w:p>
      <w:pPr>
        <w:pStyle w:val="Heading2"/>
      </w:pPr>
      <w:r>
        <w:t>3. Carl von Mentzer (–, man)</w:t>
      </w:r>
    </w:p>
    <w:p>
      <w:r>
        <w:rPr>
          <w:b w:val="0"/>
        </w:rPr>
        <w:t xml:space="preserve">Såsom herrarne se af föreliggande betänkande, finnes en bestämmelse, som går igen i fråga om alla dessa skolor af olika typer, och det är den, som finnes uttalad här i fråga om enskilda mellanskolor och lyder så: »Skolan skall stå under inseende af öfvers styrelsen för rikets allmänna läroverk, samt vara underkastad den kontroll, och de bestämmelser i öfrigt, som Kungl. Maj:t kan finna godt föreskrifva.&gt; På tal om denna bestämmelse har utskottet på sidan 37, där det talas om högre </w:t>
      </w:r>
      <w:r>
        <w:rPr>
          <w:b/>
        </w:rPr>
        <w:t>flickskolor²</w:t>
      </w:r>
      <w:r>
        <w:rPr>
          <w:b w:val="0"/>
        </w:rPr>
        <w:t xml:space="preserve">, anfört: »I öfverensstämmelse med den af motionärerna uttalade uppfattningen anser utskottet, att inspektionen öfver de hygieniska förhållandena vid statsunderstödda </w:t>
      </w:r>
      <w:r>
        <w:rPr>
          <w:b/>
        </w:rPr>
        <w:t>flickskolor²</w:t>
      </w:r>
      <w:r>
        <w:rPr>
          <w:b w:val="0"/>
        </w:rPr>
        <w:t xml:space="preserve"> icke vidare bör tillkomma eforalstyrelserna, utan i likhet med inspektionen i öfrigt ombesörjas af öfverstyrelsen för rikets allmänna läroverk. I denna punkt har jag ej gjort någon invändning mot utskottets uttalande. Men därefter har utskottet förklarat sig anse, att det vore lämpligt, »att i de ytterligare bestämmelser, som Kungl. Maj:t torde komma att utfärda rörande undervisningen i dessa skolor, den bestämmelse intages, att det tillkommer vederbörande eforus att hafva uppsikt öfver det sätt, på hvilket kristendomsundervisningen handhafves, i likhet med hvad som gäller beträffande allmänna läroverk? Nu är det så, att i fråga om de allmänna läroverken särskildt tvenne paragrafer i läroverksstadgan beröra denna sak, nämligen dels &amp; 201 där det heter: »Eforus tillkommer att hafva uppsikt öfver de allmänna läroverken i stiften och särskildt öfver det sätt, å hvilket kristendomsundervisningen vid dem handhafves, samt att för sådant ändamål besöka läroverken; börande han, därest brister af honom bemärkas, därom hos öfverstyrelsen göra anmälan», och dels $&amp; 204 som lyder: »För hvarje allmänt läroverk inom stiftet, med undantag af de i stiftstad belägna högre allmänna läroverken, och stiftets samskolor förordne eforus en inspektor; och äger eforus, då han finner så lämpligt, att genom denne som sin företrädare utöfva den befogenhet och de åligganden, som eforus tillkomma.»</w:t>
        <w:br/>
        <w:br/>
        <w:t xml:space="preserve">Jag antager visserligen, att utskottet för sin del med de ord, det användt i motiveringen, har åsyftat, att eforalstyrelsen skulle till fullo få samma befogenhet i fråga om de högre </w:t>
      </w:r>
      <w:r>
        <w:rPr>
          <w:b/>
        </w:rPr>
        <w:t>flickskolorna²</w:t>
      </w:r>
      <w:r>
        <w:rPr>
          <w:b w:val="0"/>
        </w:rPr>
        <w:t>, som den har i fråga om högre allmänna läroverk, men då det är möjligt, att den ordalydelse, utskottet har begagnat, kan gifva någon anledning till en sådan tolkning, att denna befogenhet inskränkes, har jag föreslagit den lilla ändringen att detta ställe i motiveringen skulle lyda sålunda: »Däremot anser utskottet lämpligt, att i de ytterligare bestämmelser, som Kungl. Maj:t torde komma att utfärda rörande undervisningen i</w:t>
        <w:br/>
        <w:br/>
        <w:t>dessa skolor, den bestämmelse intages, att det tillkommer vederbörande Om statseforus att hafva uppsikt öfver kristendomsundervisningen i likhet med tnderstöd till hvad som gäller beträffande allmänna läroverk.» Skillnaden mellan ,sh enskilda utskottets och mitt uttalande är härvidlag icke stor, men däremot är läroansta'ter. den något större, hvad sista punkten å sidan 37 angår, där utskottet = (Forts.) säger: »Hvad utskottet sålunda anfört bör, enligt utskottets mening,</w:t>
        <w:br/>
        <w:br/>
        <w:t>äga tillämpning på inspektionen öfver statsunderstödda kommunala</w:t>
        <w:br/>
        <w:br/>
        <w:t>och enskilda mellanskolor.&gt; Nu angår utlåtandet, såsom herrarne hafva</w:t>
        <w:br/>
        <w:br/>
        <w:t xml:space="preserve">sig väl bekant, icke endast högre </w:t>
      </w:r>
      <w:r>
        <w:rPr>
          <w:b/>
        </w:rPr>
        <w:t>flickskolor²</w:t>
      </w:r>
      <w:r>
        <w:rPr>
          <w:b w:val="0"/>
        </w:rPr>
        <w:t xml:space="preserve"> utan äfven enskilda och kommunala mellanskolor, högre gossoch samskolor, enskilda lärarinneseminarier samt högre folkskolor; och då eforus enligt kyrkolagen, som</w:t>
        <w:br/>
        <w:br/>
        <w:t>icke, såvidt jag vet, är upphäfd i detta stycke, skall hafva uppsikt</w:t>
        <w:br/>
        <w:br/>
        <w:t xml:space="preserve">skäl, hvarför inspektionen skulle inskränkas till endast de högre </w:t>
      </w:r>
      <w:r>
        <w:rPr>
          <w:b/>
        </w:rPr>
        <w:t>flick²</w:t>
      </w:r>
      <w:r>
        <w:rPr>
          <w:b w:val="0"/>
        </w:rPr>
        <w:t>-</w:t>
        <w:br/>
        <w:br/>
        <w:t>skolorna samt de statsunderstödda kommunala och enskilda mellan-</w:t>
        <w:br/>
        <w:br/>
        <w:t>skolorna, har jag tillåtit mig yrka, att denna inspektion skulle utsträckas</w:t>
        <w:br/>
        <w:br/>
        <w:t>bör enligt utskottets mening äga tillämpning på inspektionen öfver</w:t>
        <w:br/>
        <w:br/>
        <w:t>samtliga i detta utlåtande omnämnda skolor»; och ber jag, herr talman,</w:t>
        <w:br/>
        <w:br/>
        <w:t>att motiveringen i de båda sista styckena å nämnda sida måtte få den</w:t>
      </w:r>
    </w:p>
    <w:p>
      <w:pPr>
        <w:pStyle w:val="Heading2"/>
      </w:pPr>
      <w:r>
        <w:t>4. August Wijkander (Första kammarens moderata parti, man)</w:t>
      </w:r>
    </w:p>
    <w:p>
      <w:r>
        <w:rPr>
          <w:b w:val="0"/>
        </w:rPr>
        <w:t>Då under föregående diskussion den stora principfrågan icke blifvit berörd utan den enda anmärkningen af större betydelse har gällt de tre lägsta klasserna i de lägre samskolorna, det vill säga den anmärkning, som framställts i friherre Flemings och herr Hedenlunds reservation, ber jag att få yttra några ord särskildt om denna sak.</w:t>
        <w:br/>
        <w:br/>
        <w:t>Jag tror icke frågans innebörd blir tydlig, om man framställer den så, att det gäller, huruvida man skall ingripa i dessa skolors organisation genom att förvandla dem till mellanskolor eller ej. Frågan är mera invecklad, ehuru jag medgifver, att den icke är det viktigaste i detta betänkande. Om statsmakterna möjliggöra en mellanskola af lämplig typ och denna får en mer lifskraftig tillvaro, hvilket jag för min del är fullkomligt öfvertygad att den får, så är det naturligt att i ett mindre samhälle, om det har en lägre samskola, denna af sig själf kommer att öfvergå till mellanskola. Den får nämligen icke något statsanslag för de tre lägsta klasserna, utan utgår detta enligt förslaget endast för de fyra klasser, som motsvara klasser i en mellanskola. Hvad de tre lägsta icke statsunderstödda klasser angår, hvilka äro parallella med folkskolan, är det naturligt, att i samhället lätt uppstår den önskan, att dessa med hvarandra parallella klasser, hvilka kanske hvar för sig ej äro fullt besatta, sammanslås och därigenom besparingar uppkomma. Det är emellertid en bestämd skillnad i schema och arbetsordning för de till mellanskolor förvandlade samskolorna och den ursprungliga planen. Man har nämligen hittills i de lägre samskolorna ordnat språkundervisningen med början genast från första klassen, och det gör att, när en elev, som genomgått folkskolan, söker sig in i en samskola, undervisningen icke passar för hans före-</w:t>
        <w:br/>
        <w:br/>
        <w:t xml:space="preserve">gående utbildning, ty han har icke den språkkunskap, som behöfves, och utom den allmänna olägenheten uppkommer däraf förlust af tid och penningar. Under sådana förhållanden får icke en lägre samskola för omgifvande nejd samma betydelse, som om den förvandlas till mellanskola. Det är först sedan en sådan förvandling försiggått, som anordningarna inom skolan passa för kringliggande kommuner, för de gossar och </w:t>
      </w:r>
      <w:r>
        <w:rPr>
          <w:b/>
        </w:rPr>
        <w:t>flickor²</w:t>
      </w:r>
      <w:r>
        <w:rPr>
          <w:b w:val="0"/>
        </w:rPr>
        <w:t>, som genomgått folkskolan. Det kan således finnas fog för att få ändring i detta afseende, och då staten gifver anslag till den ifrågavarande skolan, kan den också fordra, att undervisningen ordnas på sådant sätt i mellanskolans klasser, att den passar för de elever, som komma direkt från folkskolorna. Därmed är icke uteslutet, att man icke kan hafva kvar de tre lägsta klasserna, men då bör undervisningen i dessa klasser ordnas på sådant sätt, att skolan ändock börjar språkundervisningen i mellanskolans lägsta klass. Det är icke fråga om att tvinga skolan att skilja sig från de tre lägre klasserna, men staten säger: vill ni hafva anslag till mellanskolans klasser, bör undervisningen ordnas så, att elever, som genomgått folkskolan, kunna hafva nytta däraf. Därför hafva flertalet af denna kammares ledamöter i utskottet utan tvekan gått med på Andra Kammarens ledamöters åsikt härom, och vill man åstadkomma samarbete mellan kamrarne samt få till stånd reformer, som kunna vara önskliga, är detta ett af villkoren, visserligen icke i sig själf af någon större betydelse, då den ifrågasatta reformen går af sig själf, men af vikt för att få en uppgörelse med Andra Kammaren, så mycket mera som den uppenbarligen har fog för sig.</w:t>
        <w:br/>
        <w:br/>
        <w:t>Utan att således herr talman, ingå på andra frågor, som möjligen senare under diskussionen komma på tal, skall jag därför nu för min del bedja att få yrka bifall till den föredragna punkten oförändrad.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117</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