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1123</w:t>
      </w:r>
    </w:p>
    <w:p>
      <w:r>
        <w:rPr>
          <w:b/>
        </w:rPr>
        <w:t xml:space="preserve">Datum: </w:t>
      </w:r>
      <w:r>
        <w:t>1909-05-19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Värner Ryden (Socialdemokraterna, man)</w:t>
      </w:r>
    </w:p>
    <w:p>
      <w:r>
        <w:rPr>
          <w:b w:val="0"/>
        </w:rPr>
        <w:t>Herr talman! Anledningen till att jag framställt denna direkta fråga, på hvilken jag fått ett så bestämdt svar af utskottets ärade vice ordförande, har varit den, att under debatten i Första Kammaren en talare sökte göra gällande, att sammanjämkningsförslagets båda delar hade med hvarandra ett inbördes sammanhang, något som jag för min del icke kunde fatta, att de hade. Och under den enskilda agitation, som sedan bedrifvits i denna kammare och rätt mycket haft karaktär af skrämsel, har nan just sökt spela på den strängen, att vi icke hade rätt att afslå sammanjämkningsförslagets ena del, utan att vi vedervågade sammanjämkningsförslaget i dess helhet. Efter den bestämda förklaring vi fått, att utskottet enhälligt varit af annan uppfattning, vill också jag nu biträda utskottets hemställan.</w:t>
        <w:br/>
        <w:br/>
        <w:t xml:space="preserve">»I öfverensstämmelse med den af motionärerna uttalade upp: fattningen anser utskottet, att inspektionen öfver de hygieniska förhållandena vid statsunderstödda </w:t>
      </w:r>
      <w:r>
        <w:rPr>
          <w:b/>
        </w:rPr>
        <w:t>flickskolor²</w:t>
      </w:r>
      <w:r>
        <w:rPr>
          <w:b w:val="0"/>
        </w:rPr>
        <w:t xml:space="preserve"> icke vidare bör tillkomma eforalstyrelserna, utan i likhet med inspektionen i öfrigt ombesörjas af öfverstyrelsen för rikets allmänna läroverk.</w:t>
        <w:br/>
        <w:br/>
        <w:t>Däremot anser utskottet lämpligt, att i de ytterligare bestämmelser, som Kungl. Maj:t torde komma att utfärda rörande undervisningen i dessa skolor, den bestämmelse intages, att det tillkommer vederbörande eforus att hafva uppsikt öfver det sätt, på hvilket kristendomsundervisningen handhafves, i likhet med hvad som gäller beträffande allmänna läroverk.</w:t>
        <w:br/>
        <w:br/>
        <w:t>Hvad utskottet sålunda anfört, bör enligt utskottets mening äga tillämpning på inspektionen öfver statsunderstödda kommunala och enskilda mellanskolor.»</w:t>
        <w:br/>
        <w:br/>
        <w:t xml:space="preserve">&gt;»I öfverensstämmelse med den af motionärerna uttalade uppfattningen anser utskottet, att inspektionen öfver de hygieniska förhållandena vid statsunderstödda </w:t>
      </w:r>
      <w:r>
        <w:rPr>
          <w:b/>
        </w:rPr>
        <w:t>flickskolor²</w:t>
      </w:r>
      <w:r>
        <w:rPr>
          <w:b w:val="0"/>
        </w:rPr>
        <w:t xml:space="preserve"> icke vidare bör till-</w:t>
        <w:br/>
        <w:br/>
        <w:t>komma eforalstyrelserna, utan i likhet med inspektionen i öfrigt ombesörjas af öfverstyrelsen för rikets allmänna läroverk.</w:t>
        <w:br/>
        <w:br/>
        <w:t>Däremot anser utskottet lämpligt, att i de ytterligare bestämmelser, som Kungl. Maj:t torde komma att utfärda rörande undervisningen i dessa skolor, den bestämmelsen intages, att det tillkommer vederbörande eforus att hafva uppsikt öfver kristendomsundervisningen i likhet med hvad som gäller beträffande allmänna läroverk.</w:t>
        <w:br/>
        <w:br/>
        <w:t>Hvad utskottet sålunda anfört, bör enligt utskottets mening äga tillämpning på inspektionen öfver samtliga i detta utlåtande omnämnda skolor.&gt;</w:t>
        <w:br/>
        <w:br/>
        <w:t xml:space="preserve">&gt;I öfverensstämmelse med den af motionärerna uttalade uppfattningen anser utskottet, att inspektionen öfver de hygieniska förhållandena vid statsunderstödda </w:t>
      </w:r>
      <w:r>
        <w:rPr>
          <w:b/>
        </w:rPr>
        <w:t>flickskolor²</w:t>
      </w:r>
      <w:r>
        <w:rPr>
          <w:b w:val="0"/>
        </w:rPr>
        <w:t xml:space="preserve"> icke vidare bör tillkomma eforalstyrelserna, utan i likhet med inspektionen i öfrigt ombesörjas af öfverstyrelsen för rikets allmänna läroverk.&gt;</w:t>
      </w:r>
    </w:p>
    <w:p>
      <w:pPr>
        <w:pStyle w:val="Heading2"/>
      </w:pPr>
      <w:r>
        <w:t>2. Fridtjuv Berg (–, man)</w:t>
      </w:r>
    </w:p>
    <w:p>
      <w:r>
        <w:rPr>
          <w:b w:val="0"/>
        </w:rPr>
        <w:t>Herr talman! Såsom af memorialet framgår, har jag tillika med ett par kamrater från denna kammare låtit i memorialet anteckna, att jag har ansett en sammanjämkning i det här ifrågavarande afseendet omöjlig. Andra Kammaren har ju bestämdt uttalat sig för att den vill ha en enhetlig inspektion, utöfvad genom läroverksöfverstyrelsen, Första Kammaren däremot har velat ha en dubbel inspektion dels genom läroverksöfverstyrelsen och dels tillika genom eforerna. Kamrarne ha sålunda utgått från olika principer i förevarande hänseende, och att halfvera mellan dessa båda</w:t>
        <w:br/>
        <w:br/>
        <w:t>ett sammanjämkningsförslag. (Forts.)</w:t>
        <w:br/>
        <w:br/>
        <w:t>principer har för mig tett sig såsom oriktigt. Om kamrarne hade varit ense däri, att dubbel inspektion borde förekomma vid vissa skolarter, men varit oense om hvilka och huru många skolarter, som skulle vara underkastade denna dubbla inspektion, om Andra Kammaren ansett, att exempelvis fyra skolarter af de här ifrågavarande skulle vara underkastade dubbel inspektion och Första Kammaren utsträckt den dubbla inspektionen till exempelvis sex skolarter, så hade man kunnat tänka sig en sammanjämkning, eller rättare då hade den varit själfklar, och sammanjämkningen skulle då gifvetvis gått ut på, att dubbel inspektion borde förekomma vid fem skolarter. Men nu står saken icke alls på det sättet, utan denna kammare har ju uttalat sig mot dubbel inspektion öfver hufvud taget, då däremot Första Kammaren velat ha sådan. Under sådana omständigheter har jag icke ansett, att en sammanjämkning är möjlig.</w:t>
        <w:br/>
        <w:br/>
        <w:t>Liksom vid det föregående tillfälle, då frågan behandlades — det var i onsdags — håller jag på, att Andra Kammarens ståndpunkt är den enda försvarliga. Departementschefen har i motiveringen till den kungl. propositionen alldeles uttryckligen framhållit, att om eforerna skulle tillerkännas en alldeles särskild lagstadgad inspektion, så måste de också ha rätt att utöfva denna inspektion genom af dem utsedda organ, genom en lokalinspektor, af dem utsedd vid hvarje dylik skola. Men då läroverksöfverstyrelsen genom riksdagsbeslutet 1904 fått inseendet öfver skolorna, så är det gifvet, att den ock måste bibehållas vid sin rätt att vid hvarje skola tillsätta lokalinspektor. Hvar och en, som försöker tänka sig in i hvad det innebär för en skola, framför allt för en liten, af staten understödd, alltså också af inspektors omdöme beroende skola, att den på detta sätt ställes under två med hvarandra rivaliserande lokalinspektioner, och som besinnar till hvilka onödiga och onyttiga trakasserier sådant kan leda eller, Jag vill hellre säga, måste leda, den har lätt att inse, att en dylik dubbel lokalinspektion icke kan vara lämplig. Man behöfver, tror jag, icke vara fackman för att förstå, att det icke duger att på detta sätt ställa en skola under mot hvarandra stridiga inspektionsinflytelser.</w:t>
        <w:br/>
        <w:br/>
        <w:t xml:space="preserve">Afven i ett annat hänseende måste jag anse, att en enhetlig inspektion öfver skolorna är det enda rätta. Om man lämnar inspektionsmyndighet åt hvarje eforus, så kan det ju icke undgås, att det blir olika inspektionsprinciper inom de olika stiften. Eforus i ett stift kan bedöma skolor och lärare efter helt andra grundsatser än eforus i ett annat. En lärare eller </w:t>
      </w:r>
      <w:r>
        <w:rPr>
          <w:b/>
        </w:rPr>
        <w:t>lärarinna³</w:t>
      </w:r>
      <w:r>
        <w:rPr>
          <w:b w:val="0"/>
        </w:rPr>
        <w:t xml:space="preserve">, som t. ex. biskopen i Visby finner god, ja, förträfflig, kan t. ex. biskopen i Göteborg finna dålig, ja rent af fördärflig. En lärare eller </w:t>
      </w:r>
      <w:r>
        <w:rPr>
          <w:b/>
        </w:rPr>
        <w:t>lärarinna³</w:t>
      </w:r>
      <w:r>
        <w:rPr>
          <w:b w:val="0"/>
        </w:rPr>
        <w:t>, som biskopen i Luleå finner mycket bra, kan biskopen i Skara eller Västerås finna vara i högsta grad underhaltig. Det här är, som herrarne torde inse, icke några fantasier,</w:t>
        <w:br/>
        <w:br/>
        <w:t>utan det är rena verkligheten, att så vidt skilda principer göra gig gällande hos de olika stiftscheferna i vårt land.</w:t>
        <w:br/>
        <w:br/>
        <w:t>Andra Kammaren uttalade sig, jag tror det var i förgår, för upphäfvandet af prästernas stiftsband, ehuru detta har seklers häfd för sig. Månne det då skulle vara lämpligt att nu införa ett alldeles nytt, ett de enskilda skolornas stiftsband, som icke har den ringaste häfd utan som vore något absolut nytt? Detta band har ju hvarken föreslagits af Kungl. Maj:t, ej heller har det föreslagits i någon motion, utan det har kommit till, jag vågar säga det, rent tillfälligtvis under utskottsdebatterna så som ett påhitt, som icke varit underkastadt någon grundlig pröfning, och utan att de, som varit med därom, haft någon undersökning, någon utredning att bygga på.</w:t>
        <w:br/>
        <w:br/>
        <w:t>Andra Kammaren har åtminstone vid tre tillfällen uttalat sig i den sak, som nu är före: ena gången vid genomförandet af den stora läroverksreformen 1904, då Riksdagen beslöt inrättandet af en gemensam läroverksöfverstyrelse med inspektionsrätt bland annat öfver det slag af skolor, som här är i fråga, andra gången 1906, då Kungl. Maj:t i proposition föreslog öfverflyttandet af inspektionsrätten i dess helhet till den då inrättade läroverksöfverstyrelsen, och tredje gången i onsdags, då Andra Kammaren gillade en reservation i detta syfte. Jag för min del tror icke, att Andra Kammaren, trots de bearbetningar, jag hört vara igångsatta, nu vill kapitulera från den ståndpunkt, som den intagit och vid upprepade tillfällen orubbligt vidhåller, och jag tillåter mig därför, herr talman, att yrka afslag på det nu föredragna sammanjämkningsförslaget.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