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w:t>
      </w:r>
    </w:p>
    <w:p>
      <w:r>
        <w:rPr>
          <w:b/>
        </w:rPr>
        <w:t xml:space="preserve">Datum: </w:t>
      </w:r>
      <w:r>
        <w:t>1910-04-02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Här föreligger förslag om att åt tjänstepersonalen vid emåskollärarinneseminarierna bereda resestipendier.</w:t>
        <w:br/>
        <w:br/>
        <w:t>Jag skall icke mycket inlåta mig på frågan, huruvida det är behöfligt ”</w:t>
        <w:br/>
        <w:br/>
        <w:t>att anslag beviljas till detta ändamål; jag är alldeles icke säker därpå. Det har varit modernt under de sista decennierna att bevilja anslag till resestipendier än åt en, än åt en annan kategori af tjänstemän. För min del tror jag, att man i detta hänseende gått längre än behöfligt varit. Nu är utskottet i likhet med Andra kammaren så öfvertygadt om behöfligheten af anslag för detta ändamål, att det icke satt saken i fråga, utan endast hemställer, att Kungl. Maj:t ville låta utredning verkställas, på hvilket sätt lämpligast ett sådant anslag skulle utgå.</w:t>
        <w:br/>
        <w:br/>
        <w:t>Jag kan icke underlåta att emot utskottets framställning uttala betänkligheter, och då först i realt afseende. Det synes mig, som om man borde vara försiktig i att bevilja statsbidrag till resestipendier åt personal, anställd vid institutioner, som äro af rent enskild natur. Ty äfven landstingens småskollärarinneseminarier måste anses vara ar enskild natur; åtminstone äro de icke på något sätt statsinstitutioner, och gäller detta om nu nämnda seminarier, så gäller det naturligtvis i ännu högre grad om sådana seminarier, som äro inrättade af enskilda personer rundt omkring i landet. Såsom sagdt, jag anser, att man bör vara betänksam, innan man beviljar anslag till tjänstepersonalen vid gådana institutioner, som äro inrättade af enskilde män, och om man går in på den väg, som utskottet här föreslår, så vet man egentligen icke, hvar man skall sluta.</w:t>
        <w:br/>
        <w:br/>
        <w:t>Om man nu i alla fall skulle instämma med utskottet, hvilket jag icke vill, så borde man icke kunna vara med om den anvisning, som utskottet gifver Kungl. Maj:t för en önskad utredning, ty i motiveringen till Andra kammarens beslut, mot hvilken Första kammarens utskott icke inlagt någon reservation, förutsättes, att för beredande ar dessa resestipendier skulle ett alldeles särskildt anslag beviljas eller ock något af de till resestipendier redan utgående anslagen ökas. Jag skall gentemot detta säga, att skulle det blifva beslut på, att stipendier böra beredas här ifrågavarande personal, är jag viss om, att redan beviljade anslag till stipendier mycket väl kunna räcka till, i synnerhet som den personal, som är i fråga, är ganska ringa och icke behöfver göra dyrbara resor. Men jag vidhåller, att om det skall anses behöfligt att bereda ifrågavarande seminarielärare och -</w:t>
      </w:r>
      <w:r>
        <w:rPr>
          <w:b/>
        </w:rPr>
        <w:t>lärarinnor³</w:t>
      </w:r>
      <w:r>
        <w:rPr>
          <w:b w:val="0"/>
        </w:rPr>
        <w:t xml:space="preserve"> stipendier för att resa och se på andra seminarier, böra stipendierna bekostas vare sig af landstingen eller af de enskilda personer, som inrättat seminarierna.</w:t>
        <w:br/>
        <w:br/>
        <w:t>Men så kommer jag slutligen till ett annat skäl, som för mig är kanske lika mycket vägande som det nu anförda, och det är af formell beskaffenhet. Motionären har föreslagit inrättande af resestipendier för personalen vid landstingens seminarier, men utskottet har gått betydligt längre och icke blott förordat bifall till motionärens framställning, utan utsträckt denna till att omfatta äfven alla seminarier, som inrättats af enskilda personer, och det har således ungefär fördubblat arealen för sin begäran. Nu vet jag väl, att man här kan säga, att ett tillfälligt utskott har motionsrätt. Ja, jag vet, att man motiverar det med grundlagen. Grundlagens ordalag gifva dock icke ett utskott anledning att gå utanför en motions område, men den kommitté, som hade sig uppdraget att utreda frågan om arbetets anordnande vid</w:t>
        <w:br/>
        <w:br/>
        <w:t>. Riksdagen, har i sin motivering uttalat sig på ett åtminstone oklart</w:t>
        <w:br/>
        <w:br/>
        <w:t>sätt i detta hänseende. Där säga nämligen kommitterade: »Då det</w:t>
        <w:br/>
        <w:br/>
        <w:t>emellertid måste anses vara af synnerlig vikt, att utskottet må äga befogenhet att uti föreliggande förslag vidtaga nödiga ändringar, hafva kommitterade funnit sig böra, såsom en konsekvens af förslaget om bestämda motionstider, gifva vederbörande paragrafer i riksdagsordningen en sådan affattning, att alla utskott, de ständiga såväl som de tillfälliga, erhålla möjlighet att uti de till deras handläggning hänskjutna propositioner och motioner göra sådana ändringar och tillägg, som, utan att innebära en omläggning af de grunder, på hvilka förslagen hvila, kunna finnas af behofvet påkallade. Att däremot tillerkänna alla utskott fullständig förslagsrätt eller rätt att underkasta föreliggande förslag en sådan omarbetning, som skulle innebära ett öfvergifvande af de till grund för dem liggande principer, hafva kommitterade hvarken funnit önskvärdt eller lämpligt.» Kommitterade hafva således uttalat såsom önskvärdt, att motionsrätt tillkomme utskottet, men hafva i nästa sats reserverat sig mot att denna rätt utsträckes för långt. Jag tror, att man bör vara försiktig, då man med stöd ai detta kommittébetänkande vill tillämpa utskotts motionsrätt. Uppenbart synes mig vara, att äfven om man tillmäter tillfälligt utskott motionsrätt, har utskottet i detta fall gått längre än hvad försiktigheten bör bjuda. Ty om det verkligen skall anses befogadt att till den grad, som här skett, utsträcka området för motionen, vet jag icke, hvilken begränsningen skall vara för ett tillfälligt eller ett ständigt utskotts motionsrätt.</w:t>
        <w:br/>
        <w:br/>
        <w:t>Då jag alltså finner formellt-konstitutionella betänkligheter tala mot ett bifall till utskottets förslag, då jag icke är öfvertygad om behofvet af den föreslagna åtgärden, då jag vidare är öfvertygad, att, om denna åtgärd är behöflig, den icke bör vidtagas af staten, och då jag slutligen är öfvertygad, att, om den skall vidtagas af staten, det icke bör ske på det sätt, hvarom utskottet hemställt, anhåller jag om afslag på föreliggande betänkande.</w:t>
      </w:r>
    </w:p>
    <w:p>
      <w:pPr>
        <w:pStyle w:val="Heading2"/>
      </w:pPr>
      <w:r>
        <w:t>2. Henning Biörklund (Första kammarens moderata parti, man)</w:t>
      </w:r>
    </w:p>
    <w:p>
      <w:r>
        <w:rPr>
          <w:b w:val="0"/>
        </w:rPr>
        <w:t>Inom Första kammarens tillfälliga utskott har man också öfverlagt, huruvida utskottet var berättigadt att stödja det förslag, som Andra kammarens tillfälliga utskott utöfver motionens innehåll framlagt och Andra kammaren antagit. Men man fann, då man såg efter, huru det förhöll sig med dessa enskilda seminarier, att dessa voro att fullt jämställa med landstingens seminarier och att förslaget fördenskull fullkomligt passade ihop med de villkor för utskotts förslagsrätt, som angifvas i motiven i det kommittébetänkande, hvaraf ett citat nyss lästes upp, och enligt hvilket alla utskott, »de ständiga såväl som de tillfälliga, skulle erhålla möjlighet att uti de till deras handläggning hänskjutna propositioner och motioner göra sådana ändringar och tillägg, som, utan att innebära en omläggning af de grunder, på hvilka förslagen hvila, kunde finnas af behofvet påkallade». Det är också en väsentlig skillnad i ordalagen mellan riksdagsordningens 37 8 3 mom., sådant det förut lydde, och såsom motsvarande stadgande nu lyder. Förut var bestämdt, att för en del frågors »beredande» skulle tillsättas tillfälligt utskott; nu åter skall utskott, äfven tillfälligt, afgifva »utlåtande och förslag i frågan». Detta</w:t>
        <w:br/>
        <w:br/>
        <w:t>Om 7eseordet »förslag&gt; hänvisar uppenbarligen till den förslagsrätt, som komjör lirar mitterade i sin motivering åsyftat, att utskotten skulle erhålla. personalen Vi voro inom utskottet visserligen till en början något tveksamma, vid småskolhuruvida de enskilda, af Andra kammarens utskott särskildt angifna lärarinneseminarierna vore att anse såsom fullt likställda med landstingens seminarier. seminarier. Men vid förfrågan i ecklesiastikdepartementet fingo vi</w:t>
        <w:br/>
        <w:br/>
        <w:t>tillstånd att verkställa examina, och att sådant tillstånd förutsätter, att de måste underkasta sig alldeles samma kontroll som den, hvilken åligger landstingens seminarier; icke blott sådan inspektion, som då och då kan förekomma, utan äfven examensoch ämnespröfning, är densamma och försiggår i samma ordning gom den för landstingens seminarier fastställda. Härtill kommer, att, om nya sådana enskilda seminarier skulle sticka upp utan kontroll från regeringen, de icke skulle kunna fortfara, därför att elever, som ginge ut från sådana anstalter, icke skulle i tjänsten kunna användas annat än för tillfälliga förordnanden och icke kunna nå till samma aflöning som de, hvilka gått ut från af staten kontrollerade seminarier. De skulle icke heller kunna komma i åtnjutande af samma pensionsförmåner, då de icke hade tillträde till folkskollärarnes pensionskassa. Således var det för oss klart, att i realiteten ingenting skilde dessa redan befintliga enskilda seminarier från landstingens seminarier, och att icke heller någon sannolikhet fanns för att i verkligheten andra seminarier skulle komma till stånd än sådana, som nästan omedelbart måste underkasta sig samma kontroll som den öfver landstingens seminarier utöfvade.</w:t>
        <w:br/>
        <w:br/>
        <w:t xml:space="preserve">Då återstod frågan: bör ifrågavarande lärarepersonal, den vid landstingens seminarier och den vid med dem likställda enskilda seminarier, få tillfälle att söka dessa stipendier? I detta afseende har utskottet syftat till samma tankegång som i Andra kammaren gjort sig gällande, nämligen att rättvisa och billighet fordra det. Vid en undersökning om de tillfällen, som äro beredda andra kategorier ai lärare att få stipendier redan nu, befinnes, att sådana kunna utgå till föreståndarinnor och föreståndare samt </w:t>
      </w:r>
      <w:r>
        <w:rPr>
          <w:b/>
        </w:rPr>
        <w:t>lärarinnor³</w:t>
      </w:r>
      <w:r>
        <w:rPr>
          <w:b w:val="0"/>
        </w:rPr>
        <w:t xml:space="preserve"> och lärare vid högre läroverk för </w:t>
      </w:r>
      <w:r>
        <w:rPr>
          <w:b/>
        </w:rPr>
        <w:t>kvinnlig¹</w:t>
      </w:r>
      <w:r>
        <w:rPr>
          <w:b w:val="0"/>
        </w:rPr>
        <w:t xml:space="preserve"> ungdom och enskilda samskolor äfvensom privata lärarinneseminarier, vidare till abnormskolornas föreståndare, lärare och </w:t>
      </w:r>
      <w:r>
        <w:rPr>
          <w:b/>
        </w:rPr>
        <w:t>lärarinnor³</w:t>
      </w:r>
      <w:r>
        <w:rPr>
          <w:b w:val="0"/>
        </w:rPr>
        <w:t xml:space="preserve">, till folkskolans lärarekår, till rektorer samt öfriga lärare och </w:t>
      </w:r>
      <w:r>
        <w:rPr>
          <w:b/>
        </w:rPr>
        <w:t>lärarinnor³</w:t>
      </w:r>
      <w:r>
        <w:rPr>
          <w:b w:val="0"/>
        </w:rPr>
        <w:t xml:space="preserve"> vid folkskoleseminarierna och till föreståndarinnor och </w:t>
      </w:r>
      <w:r>
        <w:rPr>
          <w:b/>
        </w:rPr>
        <w:t>lärarinnor³</w:t>
      </w:r>
      <w:r>
        <w:rPr>
          <w:b w:val="0"/>
        </w:rPr>
        <w:t xml:space="preserve"> vid lärarinneutbildningsanstalter i huslig ekonomi äfvensom åt skolkökslärarinnor vid andra läroanstalter. Man tyckte, att rättvisa och billighet fordrade, att då alla dessa redan nu kunna komma r åtanke till erhållande af stipendier, borde ifrågavarande i motionen och Andra kammarens beslut afsedda lärarepersonal jämväl kunna komma i åtanke därtill.</w:t>
        <w:br/>
        <w:br/>
        <w:t>Men på hvad sätt skulle sådan möjlighet dem beredas? Fordras därtill anvisande af ytterligare medel? Vid de förfrågningar, vi gjorde,. befanns, att anslaget å 4,000 kronor för stipendier till folkskollärarekåren, till hvilken nämnda personal kunde anses närmast vara att hänföra, var så strängt anlitadt, att man endast med svårighet kunde så ordna, att åtminstone en lärare från hvarje stift årligen kom i åtanke. Då förhållandet var sådant med redan nu befintligt anslag,</w:t>
        <w:br/>
        <w:br/>
        <w:t>var det uppenbart, att, om ytterligare kategorier af lärare skulle komma i åtanke att erhålla stipendier från ifrågavarande anslag, det i verkligheten för dem skulle medföra icke en reell, utan endast en teoretisk rättighet, därest icke anslaget höjdes. Utskottet var således på det klara med, att redan beviljadt anslag icke lämnade tillgång till ytterligare stipendier och följaktligen borde, om man ansåg saken rättvis, det beredas tillfälle att genom ökning af anslaget eller genom särskildt anslag skaffa stipendier för dessa, som ansåges mogna därtill.</w:t>
        <w:br/>
        <w:br/>
        <w:t>Då icke något bestämdt uttalande gjorts, att utskottet skulle anses hafva öfverskridit sin befogenhet, skall jag inskränka mig till att anhålla om bifall till det tillfälliga utskottets föreliggande förslag, hvarigenom Första kammaren enligt min tanke icke skulle komma att i denna fråga helt ogynnsamt skilja sig från den af Andra kammaren redan i frågan intagna ståndpunkt.</w:t>
      </w:r>
    </w:p>
    <w:p>
      <w:pPr>
        <w:pStyle w:val="Heading2"/>
      </w:pPr>
      <w:r>
        <w:t>3. Hugo Hammarskjöld (Första kammarens moderata parti, man)</w:t>
      </w:r>
    </w:p>
    <w:p>
      <w:r>
        <w:rPr>
          <w:b w:val="0"/>
        </w:rPr>
        <w:t xml:space="preserve">Herr vice talmannen har såsom särskildt skäl för afslag på utskottets hemställan framhållit, att de seminarier, som här äro i fråga, icke vore statsanstalter, utan upprättade af landstingen eller enskilde. Detta är mycket riktigt, men vi få väl ändå icke glömma, att de befria staten från en utgift, som staten annars skulle hafva för att skaffa </w:t>
      </w:r>
      <w:r>
        <w:rPr>
          <w:b/>
        </w:rPr>
        <w:t>lärarinnor³</w:t>
      </w:r>
      <w:r>
        <w:rPr>
          <w:b w:val="0"/>
        </w:rPr>
        <w:t xml:space="preserve"> till småskolorna. I stället för att lägga hinder i vägen och göra det svårare för dessa anstalter, hvilka utbilda och anskaffa lärarekrafter, synes det mig, att staten borde göra hvad här begäres för att underlätta deras sträfvanden. Det vore en obilllighet att säga, att personalen vid dessa seminarier icke skall vara berättigad till stipendiers erhållande, därför att dessa anstalter befria staten från en utgift, utan detta borde vara ett skäl, som talar för bifall till motionen. Mig synes det således alldeles likgiltigt, om det är staten, landstingen eller enskilda, som underhålla seminarierna; det är i alla fall staten, som därigenom får en fördel.</w:t>
        <w:br/>
        <w:br/>
        <w:t xml:space="preserve">Herr vice talmannen drog äfven i tvifvelsmål, huruvida dessa resestipendier, som utdelas på många håll, öfver hufvud taget vore nyttiga. Enligt min tanke äro de mycket nyttiga, ty det vidgar blicken i alla fall att resa och se, huru det är anordnadt på annat håll. Han menar, att landstingen och de enskilde själfva borde bekosta ifrågavarande resor. Vi veta väl, huru dåliga affärer de enskilda seminarierna i allmänhet hafva, huru svårt de hafva att få sin ekonomi att gå ihop. Icke kunna vi tänka oss, att de skola kunna bekosta stipendier för sina </w:t>
      </w:r>
      <w:r>
        <w:rPr>
          <w:b/>
        </w:rPr>
        <w:t>lärarinnor³</w:t>
      </w:r>
      <w:r>
        <w:rPr>
          <w:b w:val="0"/>
        </w:rPr>
        <w:t>. Här är fråga om ett verkligt statsintresse. Är det nu skäl, att Första kammaren ser denna fråga ur ren sparsamhetssynpunkt? Jag föreställer mig, att det anslag, som skulle komma i fråga, komme att utgöra ett tusen kronor. Skulle vi då sila denna lilla mygga, medan vi med god smak svälja miljonkameler? Jag hemställer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