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1178</w:t>
      </w:r>
    </w:p>
    <w:p>
      <w:r>
        <w:rPr>
          <w:b/>
        </w:rPr>
        <w:t xml:space="preserve">Datum: </w:t>
      </w:r>
      <w:r>
        <w:t>1911-01-03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Starbäck (Lantmanna- och borgarepartiet inom andrakammaren, man)</w:t>
      </w:r>
    </w:p>
    <w:p>
      <w:r>
        <w:rPr>
          <w:b w:val="0"/>
        </w:rPr>
        <w:t xml:space="preserve">Herr talman! Jag ber endast attfå erinra om, att det här endast är fråga om att bevilja 240 kronor åt </w:t>
      </w:r>
      <w:r>
        <w:rPr>
          <w:b/>
        </w:rPr>
        <w:t>änkan²</w:t>
      </w:r>
      <w:r>
        <w:rPr>
          <w:b w:val="0"/>
        </w:rPr>
        <w:t xml:space="preserve"> Lindholm och ingenting annat.</w:t>
      </w:r>
    </w:p>
    <w:p>
      <w:pPr>
        <w:pStyle w:val="Heading2"/>
      </w:pPr>
      <w:r>
        <w:t>2. Conrad Vahlquist (Lantmanna- och borgarepartiet inom andrakammaren, man)</w:t>
      </w:r>
    </w:p>
    <w:p>
      <w:r>
        <w:rPr>
          <w:b w:val="0"/>
        </w:rPr>
        <w:t xml:space="preserve">Såsom af betänkandet framgår, har jag icke kunnat dela utskottets uppfattning angående beviljandet af pension åt </w:t>
      </w:r>
      <w:r>
        <w:rPr>
          <w:b/>
        </w:rPr>
        <w:t>änkefru²</w:t>
      </w:r>
      <w:r>
        <w:rPr>
          <w:b w:val="0"/>
        </w:rPr>
        <w:t xml:space="preserve"> Bagge och jag har i min reservation anfört som hufvudskäl härför, att vid beviljandet af pension i fall som det föreliggande behofvet bör vara afgörande, och jag kan icke finna, att behofvet i detta fall är så synnerligen stort. Af handlingarna framgår nämligen, att behållningen 1 dödsboet utgjorde 57,490 kronor i kontanta penningar och värdepapper, hvartill kommer värdet af boets lösa inventarier. Visserligen har </w:t>
      </w:r>
      <w:r>
        <w:rPr>
          <w:b/>
        </w:rPr>
        <w:t>änkefru²</w:t>
      </w:r>
      <w:r>
        <w:rPr>
          <w:b w:val="0"/>
        </w:rPr>
        <w:t xml:space="preserve"> Bagge i sin ansökan gjort gällande, att räntan på ofvannämnda kapital, efter 5 procent uppgående till cirka 2,875 kronor för år, icke vore tillräcklig för sökandens lifsuppehälle och för bekostande af </w:t>
      </w:r>
      <w:r>
        <w:rPr>
          <w:b/>
        </w:rPr>
        <w:t>hennes²</w:t>
      </w:r>
      <w:r>
        <w:rPr>
          <w:b w:val="0"/>
        </w:rPr>
        <w:t xml:space="preserve"> sons uppfostran. Jag får säga, att jag icke kan finna annat än att det påståendet är något väl djärft. Hvar skall det sluta med beviljandet af pensioner, till hvilka ingen som helst rätt finnes, om</w:t>
        <w:br/>
        <w:br/>
        <w:t>man utgår ifrån, att en inkomst af omkring 3,000 kronor årligen icke Angående är tillräcklig för en vuxen person och ett barn att lefva på. Det am åt gelåter för mig otroligt, och det torde vara många, som dela min upp- ”R” Bagges fattning. "</w:t>
      </w:r>
      <w:r>
        <w:rPr>
          <w:b/>
        </w:rPr>
        <w:t>änka²</w:t>
      </w:r>
      <w:r>
        <w:rPr>
          <w:b w:val="0"/>
        </w:rPr>
        <w:t xml:space="preserve">. Vidare framgår af handlingarna, att förhållandena skulle tett = (Forts.) sig annorlunda, om generalkonsuln fullgjort hvad han bort göra, för att säkerställa framtiden för </w:t>
      </w:r>
      <w:r>
        <w:rPr>
          <w:b/>
        </w:rPr>
        <w:t>hustru²</w:t>
      </w:r>
      <w:r>
        <w:rPr>
          <w:b w:val="0"/>
        </w:rPr>
        <w:t xml:space="preserve"> och barn, genom att inbetala föreskrifna afgifter till pensionskassan, hvilka afgifter uppgingo till något öfver 5,000 kronor. Det synes mig hafva varit en lätt sak, då så mycket kontanta medel funnos tillgängliga. I så fall hade </w:t>
      </w:r>
      <w:r>
        <w:rPr>
          <w:b/>
        </w:rPr>
        <w:t>änkan²</w:t>
      </w:r>
      <w:r>
        <w:rPr>
          <w:b w:val="0"/>
        </w:rPr>
        <w:t xml:space="preserve"> nu uppburit 1,800 kronor årligen för sig och barn. Jag kan emellertid icke finna hvarken att något verkligt behof här föreligger, eller att Riksdagen rent utaf skulle premiera det slarf, som här blifvit begånget. Underlåtenheten att erlägga pensionsafgift skulle dock icke för mig ha varit af så afgörande betydelse, om existensmedel saknats för </w:t>
      </w:r>
      <w:r>
        <w:rPr>
          <w:b/>
        </w:rPr>
        <w:t>änkan²</w:t>
      </w:r>
      <w:r>
        <w:rPr>
          <w:b w:val="0"/>
        </w:rPr>
        <w:t xml:space="preserve"> och barnet. Men då så ingalunda är förhållandet, kan Jag icke skänka min röst åt den framställning, som här blifvit gjord, utan yrkar jag bifall till min reservation och afslag å utskottets hemställan.</w:t>
      </w:r>
    </w:p>
    <w:p>
      <w:pPr>
        <w:pStyle w:val="Heading2"/>
      </w:pPr>
      <w:r>
        <w:t>3. Ivan Svensson (Första kammarens nationella parti, man)</w:t>
      </w:r>
    </w:p>
    <w:p>
      <w:r>
        <w:rPr>
          <w:b w:val="0"/>
        </w:rPr>
        <w:t xml:space="preserve">Herr talman, mina herrar! Såsom herrarna af betänkandet kunna finna, så föreslår utskottet, att Riksdagen skall bifalla Kungl. Maj:ts proposition om en pension af 800 kronor åt generalkonsul Bagges </w:t>
      </w:r>
      <w:r>
        <w:rPr>
          <w:b/>
        </w:rPr>
        <w:t>änka²</w:t>
      </w:r>
      <w:r>
        <w:rPr>
          <w:b w:val="0"/>
        </w:rPr>
        <w:t>.</w:t>
        <w:br/>
        <w:br/>
        <w:t>Herrarna torde af betänkandet ha inhämtat, att generalkonsul Bagge varit 1 konsulatväsendets tjänst under 23 år och att han dog därborta på sin post i Shanghai och att statskontoret har efter pröfning af handlingarna tillstyrkt bifall till Kungl. Maj:ts framställning samt vidare att det i detta fall icke vore fråga om ett prejudikat, då Riksdagen förut under liknande förhållanden beviljat samma pension åt hvardera af änkorna efter konsulatrådet Fallenius och f. d. konsuln Titz. Jag kan för min del icke finna annat, än att denna pension är skäligen blygsamt tilltagen, och att med hänsyn till den långvariga nitiska tjänst Bagge under lifstiden bestridt och de svåra förhållanden, hvarunder han därborta verkat, Riksdagen handlade värdigt, om den bifölle Kungl. Maj:ts proposition och beviljade pensionen. Det har visserligen sagts, att behållningen varit tämligen stor i boet. Ja, det kan vara ett relativt begrepp, men vi kunna vara ense om, att det är mycket litet att bygga framtiden på, och att äfven förmögenheten kan bli hastigt nog spolierad, ifall olyckan är framme.</w:t>
        <w:br/>
        <w:br/>
        <w:t>Jag tror som sagdt, att Riksdagen skulle handla värdigt och klokt, om den bifölle pensionen, och att faran för ett prejudikat är utesluten.</w:t>
      </w:r>
    </w:p>
    <w:p>
      <w:pPr>
        <w:pStyle w:val="Heading2"/>
      </w:pPr>
      <w:r>
        <w:t>4. Adolf Christiernson (–, man)</w:t>
      </w:r>
    </w:p>
    <w:p>
      <w:r>
        <w:rPr>
          <w:b w:val="0"/>
        </w:rPr>
        <w:t>Ja, jag tillåter mig i olikhet med den sista ärade talaren att yrka afslag å utskottets hemställan och bifall till den af herr Vahlquist vid betänkandet fogade reservationen, i hvilken jag jämte några andra utskottsmedlemmar instämt. Och jag får säga, att skulle denna kungl. proposition bifallas, har därmed gärdet blifvit fullständigt upprifvet, ty sedan kan jag för min del icke inse, hvarför man öfver hufvud taget skall utkräfva pensionsafgifter af statens ämbetsoch tjänstemän och hvarför öfver hufvud taget Riksdagen har anledning att ingå i pröfning af deras behof af pension. Herr Vahlquist har fullkomligt utvecklat de skäl, som här tala för ett afslag af propositionen. Den, som har en ränteinkomst beräknad till 2,875 kronor om året, bör kunna reda sig, äfven om personen i fråga har ett barn att försörja. Och efter bouppteckningen fanns motsvarande kapital, så när som på en mindre del, eller mer än 50,000 kronor kontanta penningar insatta på deposition i olika banker i Stockholm. Och man får väl ändock antaga, herr Svensson, att Stockholmsbankerna äro så pass solida, att man ej behöfver riskera sina depositionsmedel.</w:t>
        <w:br/>
        <w:br/>
        <w:t xml:space="preserve">Jag ber särskildt få framhålla, att denne tjänsteman haft rättighet att ingå i pensionskassan, och då skulle </w:t>
      </w:r>
      <w:r>
        <w:rPr>
          <w:b/>
        </w:rPr>
        <w:t>änkan²</w:t>
      </w:r>
      <w:r>
        <w:rPr>
          <w:b w:val="0"/>
        </w:rPr>
        <w:t xml:space="preserve"> och barnet haft 1,800 kronor om året. Men han var för snål och ansåg, att de retroaktiva afgifterna voro för höga, något som emellertid ej bör inverka på vår ställning till denna fråga.</w:t>
        <w:br/>
        <w:br/>
        <w:t>Jag tillåter mig att yrka afslag å utskottets hemställan.</w:t>
      </w:r>
    </w:p>
    <w:p>
      <w:pPr>
        <w:pStyle w:val="Heading2"/>
      </w:pPr>
      <w:r>
        <w:t>5. Arvid Taube (–, man)</w:t>
      </w:r>
    </w:p>
    <w:p>
      <w:r>
        <w:rPr>
          <w:b w:val="0"/>
        </w:rPr>
        <w:t xml:space="preserve">Herr talman, mina herrar! Herrar reservanter ha som skäl för sitt afslagsyrkande anfört, att enligt deras uppfattning i ett fall som detta behofvet ensamt bör vara bestämmande för pensions beviljande, och att här icke förelåg ett sådant behof, enär behållningen 1 dödsboet utgjorde omkring 58,000 kronor. Ja, mina herrar, jag vill icke dölja, att då </w:t>
      </w:r>
      <w:r>
        <w:rPr>
          <w:b/>
        </w:rPr>
        <w:t>fru²</w:t>
      </w:r>
      <w:r>
        <w:rPr>
          <w:b w:val="0"/>
        </w:rPr>
        <w:t xml:space="preserve"> Bagges underdåniga pensionsansökan inkom, hade jag också till en början den tanken, att här icke förefanns ett tillräckligt behof, och att jag alltså var ytterst tveksam, huruvida jag skulle tillstyrka Kungl. Maj:t att framlägga proposition till Riksdagen angående den begärda pensionen. Men vid närmare öfvervägande och sedan jag satt mig in i frågan, har jag funnit, att jag ej kunde låta mig leda af dylika hänsyn. Och jag har blifvit ytterligare styrkt i denna min uppfattning af det tillstyrkande utlåtande statskontoret afgifvit.</w:t>
        <w:br/>
        <w:br/>
        <w:t>Jag ber då först och främst att få fästa herrarnas uppmärksamhet därpå, att den af reservanterna uppställda satsen, nämligen att behofvet ensamt skall vara utslagsgifvande för statspension,</w:t>
        <w:br/>
        <w:br/>
        <w:t xml:space="preserve">torde, så synes det mig åtminstone, stå i strid med de allmänt an- Angående tagna grundsatserna för beviljandet af pension åt statstjänstemän ere nsdr och deras efterlefvande. Vidare vill jag påpeka den omständig- RR Bagges heten, att hvad beträffar konsulattjänstemännen deras pensions- = </w:t>
      </w:r>
      <w:r>
        <w:rPr>
          <w:b/>
        </w:rPr>
        <w:t>änka²</w:t>
      </w:r>
      <w:r>
        <w:rPr>
          <w:b w:val="0"/>
        </w:rPr>
        <w:t xml:space="preserve">. förhållanden visserligen förut varit reglerade på ett olika sätt mot (Forts. pensionsförhållandena för andra statstjänstemän, men att detta kom sig däraf, att under unionen konsulerna voro unionella tjänstemän och deras pensionsförhållanden således ordnade på ett helt annat sätt. Det gick nämligen så till, att pensionen utgick af den gemensamma kabinettsoch konsulatskassan och beviljades af Kungl. Maj:t i sammansatt statsråd. Detta förändrades emellertid efter unionens upplösning 1905. Det åtgick sedan ganska lång tid, innan hithörande förhållanden togo fasta former, så att under ett par års tid desamma voro sväfvande. Emellertid ordnades saken så, att konsulerna fingo tillträde till civilstatens </w:t>
      </w:r>
      <w:r>
        <w:rPr>
          <w:b/>
        </w:rPr>
        <w:t>änkeoch²</w:t>
      </w:r>
      <w:r>
        <w:rPr>
          <w:b w:val="0"/>
        </w:rPr>
        <w:t xml:space="preserve"> pupillkassa, men detta skulle träda i verket först 1908, i den mån utnämningar till nya tjänster ägde rum. Elfter den tiden skulle konsulerna utan vidare blifva delägare i denna kassa och erlägga därför stadgade afgifter och </w:t>
      </w:r>
      <w:r>
        <w:rPr>
          <w:b/>
        </w:rPr>
        <w:t>änka²</w:t>
      </w:r>
      <w:r>
        <w:rPr>
          <w:b w:val="0"/>
        </w:rPr>
        <w:t xml:space="preserve"> och barn på så sätt vara tillförsäkrade pension. Före 1908 åter stod det dem fritt att genom erläggande af retroaktiva afgifter ingå i kassan. Dessa retroaktiva afgifter uppgingo till höga belopp. Och man kan nu visserligen säga, att i detta fall vederbörande varit i stånd att erlägga beloppet i fråga, men å andra sidan är det icke så lätt för en konsul, som sitter utomlands, och mången gång har svårt att reda sig med den lön han har, att utbetala ett så stort belopp som 5,000 kronor, hvilket det här gällde. Det har upplysts, att generalkonsul Bagge varit betänkt på att söka inträde i </w:t>
      </w:r>
      <w:r>
        <w:rPr>
          <w:b/>
        </w:rPr>
        <w:t>änkeoch²</w:t>
      </w:r>
      <w:r>
        <w:rPr>
          <w:b w:val="0"/>
        </w:rPr>
        <w:t xml:space="preserve"> pupillkassan, och han att inhämtat upplysningar om saken, men att han dragit sig för de stora utgifterna. Därtill kom också att han vid denna tid, till följd af mångårig vistelse i det osunda klimatet i Östern, redan var nedbruten till hälsan, och att det därför kan antagas, att han ej längre var i besittning af nödig energi för ordnande af denna angelägenhet. Hur därmed än var, så blef ingenting af med saken och så dog han under tiden. Det är såsom herr Christiernson anmärkte, att om Bagge hade fullföljt sin afsikt, så hade hans </w:t>
      </w:r>
      <w:r>
        <w:rPr>
          <w:b/>
        </w:rPr>
        <w:t>änka²</w:t>
      </w:r>
      <w:r>
        <w:rPr>
          <w:b w:val="0"/>
        </w:rPr>
        <w:t xml:space="preserve"> nu suttit med en pension af 1,800 kronor, och man kan blott beklaga, att han icke gjorde så.</w:t>
        <w:br/>
        <w:br/>
        <w:t>Emellertid framställer sig saken så för mig, att jag tycker, att det vore obilligt, om, på grund däraf att förhållandena efter unionsupplösningen på alla möjliga områden och äfven på detta område blifvit tilltrasslade, de efterlefvande efter en ämbetsman, som tjänat sitt land under många år och, sedan han därunder förlorat hälsan, gått en, mänskligt att se, förtidig död till mötes, skulle blifva lidande. Jag erinrar också att Riksdagen tycks förut hafva varit af samma uppfattning, ty år 1908 beviljade Riksdagen — såsom en ledamot af kammaren, jag tror det var herr Christiernson,</w:t>
        <w:br/>
        <w:br/>
        <w:t>nyss påpekade — pensioner i två fullkomligt liknande fall. Behållningen af dödsboet uppgick därvid till nästan samma belopp som här; jag tror att det var 35,000 kronor i det ena och 40,000 i det andra fallet. Jag kan icke säga fullkomligt säkert, men beloppet var ganska nära detsamma som nu.</w:t>
        <w:br/>
        <w:br/>
        <w:t xml:space="preserve">Jag vill vidare tillägga, att generalkonsulinnan Bagge, som är norskfödd och har en son att uppfostra, gärna vill uppfostra honom i Sverige och själf för detta ändamål slå sig ned här i landet. </w:t>
      </w:r>
      <w:r>
        <w:rPr>
          <w:b/>
        </w:rPr>
        <w:t>Hon²</w:t>
      </w:r>
      <w:r>
        <w:rPr>
          <w:b w:val="0"/>
        </w:rPr>
        <w:t xml:space="preserve"> har emellertid upplyst, att kapitalet är mindre än </w:t>
      </w:r>
      <w:r>
        <w:rPr>
          <w:b/>
        </w:rPr>
        <w:t>hon²</w:t>
      </w:r>
      <w:r>
        <w:rPr>
          <w:b w:val="0"/>
        </w:rPr>
        <w:t xml:space="preserve"> först uppgifvit och att </w:t>
      </w:r>
      <w:r>
        <w:rPr>
          <w:b/>
        </w:rPr>
        <w:t>hon²</w:t>
      </w:r>
      <w:r>
        <w:rPr>
          <w:b w:val="0"/>
        </w:rPr>
        <w:t xml:space="preserve"> icke här skulle kunna lefva på afkastningen af detsamma. Det har sagts mig, att realiseringen af boet icke lämnat den behållning </w:t>
      </w:r>
      <w:r>
        <w:rPr>
          <w:b/>
        </w:rPr>
        <w:t>hon²</w:t>
      </w:r>
      <w:r>
        <w:rPr>
          <w:b w:val="0"/>
        </w:rPr>
        <w:t xml:space="preserve"> tänkt sig och att </w:t>
      </w:r>
      <w:r>
        <w:rPr>
          <w:b/>
        </w:rPr>
        <w:t>hennes²</w:t>
      </w:r>
      <w:r>
        <w:rPr>
          <w:b w:val="0"/>
        </w:rPr>
        <w:t xml:space="preserve"> placerade medel icke lämnade, på sätt </w:t>
      </w:r>
      <w:r>
        <w:rPr>
          <w:b/>
        </w:rPr>
        <w:t>hon²</w:t>
      </w:r>
      <w:r>
        <w:rPr>
          <w:b w:val="0"/>
        </w:rPr>
        <w:t xml:space="preserve"> beräknat, 5 procent i afkastning. Följaktligen har </w:t>
      </w:r>
      <w:r>
        <w:rPr>
          <w:b/>
        </w:rPr>
        <w:t>hon²</w:t>
      </w:r>
      <w:r>
        <w:rPr>
          <w:b w:val="0"/>
        </w:rPr>
        <w:t xml:space="preserve">, enligt hvad </w:t>
      </w:r>
      <w:r>
        <w:rPr>
          <w:b/>
        </w:rPr>
        <w:t>hon²</w:t>
      </w:r>
      <w:r>
        <w:rPr>
          <w:b w:val="0"/>
        </w:rPr>
        <w:t xml:space="preserve"> uppgifvit, icke mera än något öfver 2,000 kronor om året att lefva af och icke, såsom förut uppgifvits, 2,875 kronor. Det synes mig därför, med hänsyn till </w:t>
      </w:r>
      <w:r>
        <w:rPr>
          <w:b/>
        </w:rPr>
        <w:t>hennes²</w:t>
      </w:r>
      <w:r>
        <w:rPr>
          <w:b w:val="0"/>
        </w:rPr>
        <w:t xml:space="preserve"> mans mångåriga dugande verksamhet i statens tjänst och att han stupat på sin post, att många skäl tala för att Riksdagen borde bifalla denna ansökan, och jag vågar hoppas, att herrarna ville finna denna Kungl. Maj:ts framställning behjärtansvärd.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