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w:t>
      </w:r>
    </w:p>
    <w:p>
      <w:r>
        <w:rPr>
          <w:b/>
        </w:rPr>
        <w:t xml:space="preserve">Datum: </w:t>
      </w:r>
      <w:r>
        <w:t>1912-05-14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Afzelius (Första kammarens minoritetsparti, man)</w:t>
      </w:r>
    </w:p>
    <w:p>
      <w:r>
        <w:rPr>
          <w:b w:val="0"/>
        </w:rPr>
        <w:t xml:space="preserve">Just nyss har telegrafen bragt oss budskapet, att Konung Fredrik af Danmark är död. Inom hans eget land skall för visso den gode Konungens bortgång väcka känslor af sorg och saknad. För oss var han ingalunda en främling, förmäld som han var med en svensk </w:t>
      </w:r>
      <w:r>
        <w:rPr>
          <w:b/>
        </w:rPr>
        <w:t>konungadotter²</w:t>
      </w:r>
      <w:r>
        <w:rPr>
          <w:b w:val="0"/>
        </w:rPr>
        <w:t xml:space="preserve"> och fader till en svensk </w:t>
      </w:r>
      <w:r>
        <w:rPr>
          <w:b/>
        </w:rPr>
        <w:t>prinsessa³</w:t>
      </w:r>
      <w:r>
        <w:rPr>
          <w:b w:val="0"/>
        </w:rPr>
        <w:t>, personligen känd af många från de besök han ofta aflade hos vårt konungahus. I frändefolkets känslor vid hans bortgång deltager därför varmt också vårt svenska folk.</w:t>
      </w:r>
    </w:p>
    <w:p>
      <w:pPr>
        <w:pStyle w:val="Heading2"/>
      </w:pPr>
      <w:r>
        <w:t>2. Lars Åkerhielm Den Yngre (–, man)</w:t>
      </w:r>
    </w:p>
    <w:p>
      <w:r>
        <w:rPr>
          <w:b w:val="0"/>
        </w:rPr>
        <w:t>I vice talmannens frånvaro har jag tillåtit mig begära ordet för att hemställa, att kammaren behagade åt herr talmannen ge i uppdrag att med anledning af Konung Fredriks frånfälle telegrafiskt till H. Maj:t Ankedrottningen af Danmark samt D.D. K.K. H.H. Hertigen och Hertiginnan af Västergötland framföra uttrycken af kammarens deltagande.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