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1266</w:t>
      </w:r>
    </w:p>
    <w:p>
      <w:r>
        <w:rPr>
          <w:b/>
        </w:rPr>
        <w:t xml:space="preserve">Datum: </w:t>
      </w:r>
      <w:r>
        <w:t>1914-05-27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Joseph Hermelin (Lantmanna- och borgarepartiet inom andrakammaren, man)</w:t>
      </w:r>
    </w:p>
    <w:p>
      <w:r>
        <w:rPr>
          <w:b w:val="0"/>
        </w:rPr>
        <w:t>Herr talman! Jag skall endast tillåta mig några korta erinringar med anledning av några uttalanden, som fällts här under dagens lopp.</w:t>
        <w:br/>
        <w:br/>
        <w:t>Jag skall då be att först ett par ögonblick få vända mig till en ärad kammarledamot, en kamrat på Östgötabänken. Jag lovar i förväg, att jag icke skall, såsom många talare gjort förut i dag, vända på den politiska fjärdingen och där gräva fram gamla skvallerhistorier från valstriden. Ej heller skall jag, fast timman på dygnet onekligen inbjuder därtill, mana fram bleka vålnader av egna under valstriden lidna oförrätter, men jag skall tillåta mig ge den ärade talaren en liten vink, att jag anser, att han skulle gjort klokt i att i något mindre grad ockra på kammarens vetgirighet, att han kanske också skulle gjort klokt i att måla sina intryck från den sista valstriden i något mindre ensidiga färger.</w:t>
        <w:br/>
        <w:br/>
        <w:t>Jag skall tillåta mig att berätta en enda liten valinteriör från våra Östgötatrakter. En arbetare yttrade sig om försvarsfrågan till en av mina bekanta. Han var själv socialdemokrat, men förklarade sig mycket väl förstå den försvarsiver, som kunde besjäla vida samhällslager i vårt land. Men så tillade han, att nog måste man erkänna, att det är upprörande, att grundmotivet till detta yrkande på stora, mäktiga pansarfartyg i själva verket lär vara det, att våra sjöofficerare vilja ha bättre armbågsrum, när de sitta och spela kort om nätterna på pansarfartygen. Min interlokutör utbrast då: »Men kära Karlström, hur kan Karlström komma med någonting sådant!», varpå denne invände: »Ja, men det har riksdagsman Sterne berättat på ett stort valmöte i fredags kväll.» — Jag kan inte garantera, att han fått detta rätt i sina papper, men jag vill påpeka, att det vore ett outtömligt ämne till ömsesidigt klander, om vi skulle uppehålla oss alltför länge vid dessa historier.</w:t>
        <w:br/>
        <w:br/>
        <w:t>Jag skall vidare tillåta mig en kort erinran med anledning av ett uttalande av en ärad kammarledamot på Stockholmsbänken, herr Karl Staaff, ett uttalande, som fälldes på förmiddagen. Herr Staaff yttrade, så vitt jag fattade honom rätt, under sin exposé av nationalismen bland annat, att nationalismen framför allt vill synas utåt. Jag skulle för min ringa del vilja tillägga, att i våra dagar, med den på grund av det storpolitiska läget ytterligt spända uppmärksamhet, varmed ett land följer alla andra länders politik, ett lands yttre politik, i första hand, alltid synes utåt. Den må vara stark och kraftig eller svag och vacklande, alltid synes den utåt, alltid blir den iakttagen; och allt efter arten av dessa iakttagelser skänker, för att nu närmast tala om vårt land, utlandet oss sin aktning eller sin ringaktning. Dessa känslor, denna uppskattning hos utlandet, den står eller faller nästan automatiskt, alldeles som växlande värmeförhållanden avläsas på en termometer. En fast, målmedveten inre politik, en försvarspolitik, förestavad av ett folks okuvliga vilja att leva, skänker aktning. Vankelmod och häftiga omkastningar fram och tillbaka alstra missaktning. Denna uppskattning folken emellan kallas i dagligt tal för prestige, och prestigen folken emellan är på en gång en</w:t>
        <w:br/>
        <w:br/>
        <w:t>ytterligt subtil och ytterligt hänsynslös verklighet; och den ledande statsman, som icke uppskattar till sitt fulla värde denna sanning, som icke, om jag så får uttrycka mig, dag och natt håller framför sig vikten av att upprätthålla sitt lands prestige, i synnerhet om detta är ett litet land, med exponerat läge, den ledande statsmannen bör, enligt mitt ringa förmenande, icke syssla med statskonst.</w:t>
        <w:br/>
        <w:br/>
        <w:t>Ett sådant brott mot vårt lands prestige var upphävandet av pansarbåtsbeslutet. Det var helt enkelt en för vårt lands prestige mördande åtgärd att efter 6—8 års betänketid besluta byggandet av en — säger 1 — pansarbåt, för att 3/4 år senare inför utlandets undrande, häpnande blickar ånyo upphäva detta beslut. Nästan lika mördande fruktar Jag att det skulle bli för vårt lands prestige, om vi nu skulle ena våra krafter på att sönderslita den nuvarande regeringens förslag till försvarsfrågans lösning, detta förslag, om vilket vi strax vid tiden för ministärskiftet läste hundrade gånger i våra liberala tidningar, att det fullkomligt förvillande påminde om det förslag, som herr Staaff hade skisserat i sitt Karlskronatal. Skulle vi såsom en gärd på kompromissens altare trasa sönder detta förslag, fruktar jag, att vår prestige skulle lida en ny hård stöt. Ty detta förslag är så snävt tilltaget, omfattar så till ytterlighet blott det mest oeftergivliga, att där finnes sannerligen icke rum för mycket prutande och mycket kompromissande, en fordran som dock under veckor gått som en röd tråd i opposititionspressen och även i flera anföranden här i dag.</w:t>
        <w:br/>
        <w:br/>
        <w:t>Såvitt jag kan förstå, vore det vida bättre att, därest regeringens förslag nu icke kan i all huvudsak antagas, låta folket ännu en gång taga sitt öde i egna händer och yttra sig, hur det själv önskar. Man vill ju, att folket skall stå och falla som sin egen herre, att det skall vara herre i eget hus: låt det då taga frågan ännu en gång i egna händer hellre än att låta kompromissens berg ånyo, som så många gånger förut, framföda en ömklig råtta, en »ridiculus mus», och därmed insöva godtrogenheten och okunnigheten i den vidskepliga föreställningen att vi medelst kompromissande åstadkommit något slutgiltigt och bärande, den föreställningen att något verkligen skulle blivit gjort till varaktig båtnad för försvarsfrågan.</w:t>
        <w:br/>
        <w:br/>
        <w:t>Jag skall be att under några ögonblick blott få göra en erinran med anledning av ett uttalande av en ärad talare på Stockholmsbänken, herr Branting. Herr Branting omnämnde på förmiddagen innehållet i ett flygblad och uppläste de reservationer, som den ryske överstelöjtnanten Assanovitch enligt förljudande skulle ha gjort och som stodo upptagna på den där kartskissen, reservationer gent emot lättheten att övervinna vårt land, och som, om jag fattade orden rätt, skulle ha sin grund dels däri att vårt Iand hade en kraftig ryggrad, och dels däri att nästan varje hem här i Sverige hade till sitt förfogande ett gevär. Efter att hava omnämt detta, utbrast herr</w:t>
        <w:br/>
        <w:br/>
        <w:t>Branting i följande fråga: »Hur stämmer det att man samtidigt fastslår detta och samtidigt fordrar utsträckning av värnpliktsövningarna för infanteriet till ett år?» Herr Branting ville framställa dessa två saker som en motsägelse. Såvitt jag kan förstå, stämmer det utomordentligt väl det ena med det andra: just på grund av dessa och andra gynnsamma faktorer är det ju möjligt att våga föreslå övningstiden för vårt infanteri till en så låg siffra som ett år. Ty förefunnes icke dessa gynnsamma faktorer, så kan jag icke tänka mig någon rimlig, förnuftig möjlighet att vi skulle kunna sätta vårt infanteris övningstid lägre än snart sagt alla andra nationer satt sitt infanteris övningstid. Vad skulle göra, att våra värnpliktige förmådde på ett år inhämta samma mått av militäriskt vetande, som andra länders värnpliktige behöva 2 å 3 år för att inhämta, om det icke vore just dessa fördelar och gynnsamma omständigheter som spelade in? Således, jag upprepar det, just på grund av dessa gynnsamma faktorer kunna vi sitta och föreslå och besluta om övningstidens fastställande till en så låg totaltid som ett år; ty denna övningstid på två år, som förefinnes i en mängd främmande arméer, den har naturligtvis icke kommit till för vederbörandes nöjes skull och icke kommit till på måfå, utan det är en i många fall dyrköpt erfarenhet som sagt dessa nationer, att 2 år är ett minimum för att utbilda en nutida soldat. Och denna övningstid på två år gäller icke blott, mina herrar, de rika, stora kulturländerna, utan även fattiga länder ha fått bita i det sura äpplet och dra till med 2 års övningstid. Till dessa länder höra bland andra Spanien, Serbien, Bulgarien och Rumänien. Jag vill icke tala om Frankrike, som har en 3-årig övningstid, och vår mäktiga östra granne, som ökat sitt infanteris övningstid från 3 till 31/4 år.</w:t>
        <w:br/>
        <w:br/>
        <w:t>Herr Branting försummade icke heller att ge några stickord åt den militära drillen. Jag tror för min del, att denna militära drill är absolut nödvändig; och det är just för att åstadkomma ett quantum satis av militär drill, just för att få den militära drillen ordentligt inpräntad i vederbörande, som andra nationer satt övningstiden till minst 2 år. Detta må vara obehagligt för dem det gäller, men de länder, som hava en bitter erfarenhet av vilken förbannelse det är att skicka otillräckligt övade trupper emot en bättre övad fiende, tveka icke ett ögonblick i valet. Det finnes väl i själva verket intet, som så predisponerar till nederlag som just det att skicka otillräckligt övade trupper i fält, i elden; därom vittna icke minst de senaste årtiondenas historia. ”</w:t>
        <w:br/>
        <w:br/>
        <w:t>Herr Branting gjorde också ett utfall, om jag hörde rätt, mot disciplinen. Varför skulle disciplinen, då det gäller militära spörsmål, vara klandervärd eller böra ringaktas, försmås? När disciplinen fordras och tillämpas i de socialdemokratiska fackföreningarna, då får den heta med sitt rätta namn disciplin; när digciplinen fordras i den militära utbildningen, där den är tio</w:t>
        <w:br/>
        <w:br/>
        <w:t>gånger viktigare, tio gånger nödvändigare, då kallar man den kadaverlydnad. Ett sådant förfarande är knappast fair play; det är knappast någon samvetsgrann terminologi.</w:t>
        <w:br/>
        <w:br/>
        <w:t xml:space="preserve">Samme ärade talare förklarade också, att han och hans parti absolut icke ville veta av några stående härar. Men skulle icke i vår tid en stående här vara det enda förnuftiga. Det är väl precis lika förnuftigt att i dessa orostider ha en stående här ständigt till hands, som det är förnuftigt, att när jag brandförsäkrar, brandförsäkra för ett år i sänder och icke för vartannat kvartal under den förmodan, att eldsvådan väl må taga den hänsyn för folk, att den ej anfaller mig just under det kvartal jag funnit för gott att av sparsamhetsskäl icke försäkra. Så oförnuftigt handlar i själva verket ingen människa, när det gäller brandförsäkring av </w:t>
      </w:r>
      <w:r>
        <w:rPr>
          <w:b/>
        </w:rPr>
        <w:t>hennes²</w:t>
      </w:r>
      <w:r>
        <w:rPr>
          <w:b w:val="0"/>
        </w:rPr>
        <w:t xml:space="preserve"> bohag, men så oförnuftigt handla vi i denna stund, detta ögonblick, att vi försäkra oss om ett nödtorvtigt skydd för vårt land under det ena halvåret under förhoppning, att krigsfaran väl må veta sin plikt och skyldighet att icke hota oss under det andra, och en sådan felaktig synpunkt som den jag nu framställt skulle bibehålla sitt hedersrum hädanefter som hittills, om det liberala partiets försvarslinje bleve riksdagens beslut, d. v. s. sommarövning till högst sin nuvarande utsträckning och så några månader efteråt högst intill 40 dagars vinterövning. Det bleve icke något sammanhängande, intet ständigt skydd för vårt land, utan det bleve en intermittent kvartalsbrandförsäkring hädanefter som hittills.</w:t>
        <w:br/>
        <w:br/>
        <w:t>Herr talman, jag ber att få sluta dessa korta erinringar med en erinran till kammaren om att herr finansministern på förmiddagen just antydde de resurser, som finnas i vårt land, och som lämpligen kunna användas för försvaret. Han nämnde de resurser, som vi ha i våra skogar, och jag tror, att han hade kunnat trycka på den punkten ännu något kraftigare än han gjorde. På många andra punkter i vår statshushållning finnas säkerligen de resurser, som erfordras för att vi skola kunna med heder klara även i ekonomiskt hänseende det försvarsförslag, som föreligger. Då det i våra dagar visar sig en tendens att ringakta den inhemska sakkunskapen, men att däremot uppskatta den utländska sakkunskapen ända därhän, att man stundom alltför litet sovrar densamma, innan man dukar upp den för allmänheten, så skall jag be att få sluta dessa korta erinringar med ett uttalande av en stor rysk ledande tidning Novoje Vremjla av den 22 april detta år. Där uttalas i en ledande artikel dessa ord: »Det vittnar om dumhet att beklaga sig över att nationella rikedomar användas för att trygga dessa samma rikedomars besittning och för att försvara ett folks nationella liv och oberoende.»</w:t>
      </w:r>
    </w:p>
    <w:p>
      <w:pPr>
        <w:pStyle w:val="Heading2"/>
      </w:pPr>
      <w:r>
        <w:t>2. Hjalmar Branting (Socialdemokraterna, man)</w:t>
      </w:r>
    </w:p>
    <w:p>
      <w:r>
        <w:rPr>
          <w:b w:val="0"/>
        </w:rPr>
        <w:t>Herr talman! Den siste ärade talaren hade en del att säga i början av sitt anförande om vår nationella prestige utåt. Det förefaller mig, att om han mindre hade tänkt på landets</w:t>
        <w:br/>
        <w:br/>
        <w:t>prestige, som väl knappast är i fara, och i stället något mera på sin egen prestige, han näppeligen skulle ha yttrat en del av vad han här sade. Han var nog, förefaller det mig, en något obekväm bundsförvant för regeringen genom det öppna tillkännagivande han gjorde om att vår utbildning egentligen skulle rätta sig efter hur de utländska arméernas övningstid är inrättad, och genom den varma kärlek han tillkännagav för den tvååriga värnplikten. De toner, vi fingo höra i det avseendet, de komma, mina herrar, men de komma i allmänhet icke ännu, utan först sedan man fått igenom vad som nu närmast eftersträvas. Då komma herr Hermelins gelikar att mer allmänt sjunga på de melodierna.</w:t>
        <w:br/>
        <w:br/>
        <w:t>Jag begärde ordet för att göra några korta repliker åt olika håll. Herr justitieministern framhöll, att han icke var motståndare till Åkarpslagens förändring i sådan riktning, som överenstämde med den bekanta Bergerska motionen. Jag tar fasta på det erkännandet, som ligger däruti från hans sida, om att denna skamfläck i vår lagstiftning bör utplånas, i vart fall i dess nuvarande form. Och då det från vårt håll kommer att vid denna riksdag framföras motion om Äkarpslagens avskaffande hoppas jag och förväntar, att även herr justitieministern skall lägga ett tungt vägande ord för en önskvärd revision av densamma. Jag beklagar endast, att han icke kunde, som han uttryckligen framhöll, därvid tala å hela regeringens vägnar. Det måtte sålunda finnas hakar någonstädes inom regeringen.</w:t>
        <w:br/>
        <w:br/>
        <w:t>Herr finansministern framhöll uti sitt svar egentligen ingenting gentemot vad jag huvudsakligen anmärkt på. Han gav oss en rad av bevis för, att det kunde finnas här och var i hans beräkningar vissa säkerhetsmarginaler, såsom exempelvis just denna ökade avkastning från skogarna, varom nyss nämndes igen och som ju också är framhållen av första försvarsberedningen, ehuru, emedan utredningen därom inkom något sent, detta icke kunde lämpligen inpassas i de första tabellerna, utan i stället infördes i det s. k. alternativ A, som är upptaget i försvarsberedningarnas kalkyler. Men det gavs icke något svar på det, som för mig var på den punkten huvudsaken, nämligen det framhållande, som jag tillät mig göra, att herr finansministerns kalkyler om de 6 miljonerna, hans uttalande om den högre nivå, på vilken han ansåg, att man kommer att permanent stå utöver försvarsberedningarnas beräkningar, att dessa kalkyler och uttalanden dock väsentligen grundade sig på förhållandena under en</w:t>
        <w:br/>
        <w:br/>
        <w:t>högkonjunktur, och att sålunda, då lågkonjunkturen kommer — och den måste komma en eller flera gånger under den förestående 10- årsperioden! — dessa inkomster förändras och sjunka ned igen.</w:t>
        <w:br/>
        <w:br/>
        <w:t>Han pekade vidare på, att det hade kunnat samlas genom överskott i statsregleringarna, högst betydande belopp förut. Men vi ha börjat i alla fall att räkna något närmare verkligheten, än vad man brukade på den tid, jag satt i bevillningsutskottet, då en del åtminstone av dessa stora överskott samlades genom att man ganska 'systematiskt och avsiktligt försiktigtvis räknade för lågt.</w:t>
        <w:br/>
        <w:br/>
        <w:t>Han gjorde vidare den mycket riktiga sammanfattningen av en annan anmärkning, som jag hade tillåtit mig framställa mot hans</w:t>
        <w:br/>
        <w:br/>
        <w:t>utveckling av ämnet, att han icke hade, som hans ord visst föllo, »sjungit riktigt ut» beträffande sin ställning till inkomstskatten. Det var nog också så, att man efter denna sammanfattning här ganska allmänt väntade, att vad som möjligen kunde vara något alltför försiktigt uttryckt i den skrivna motivering, som vi läst, det skulle nu kompletteras genom det muntliga anförandet av herr finansministern. Men vänta fick man! Det blev fortfarande ingen precisering av att från inkomstskatten skall tagas vad som behövs ovanpå de 4,7 miljonerna och några andra mindre poster, som herr finansministern eventuellt kan plocka tillsammans, att det skall bli på den punkten just och icke på de mindre besittande, som den bördan skall läggas, som blir permanent i olikhet med värnskattebördan, vilken ju är av övergående natur. Den förklaringen uteblev. TI stället utvecklade herr finansministern ånyo, vad ingen bestritt, nämligen att en omläggning av skatteskalan är en ömtålig procedur och kräver vissa särskilda förarbeten. Han omnämnde även det faktum, att förra regeringen satt igång sådana förarbeten och han kunde ha tillagt att den därvid handlat i bästa samförstånd med första försvarsberedningen. Det är nämligen i full överenstämmelse med hela den tankegång, som är utvecklad i försvarsberedningarnas resonemang, då de varna för att bara öka procentvis den nuvarande inkomstskatten, ty så är ej den nuvarande inkomstskatteskalan lagd, att detta kan gå annat än till en viss begränsad utsträckning. Det löfte alltså, som skulle varit av visst värde att få ifrån herr Vennersten, det kom aldrig, utan det blev samma vaga och obestämda uttalande, som stodo kvar, samma lilla öppna dörr på glänt till att bördorna kunna komma att tagas även på andra vägar, även från de samhällslager, som redan nu äro över hövan tryckta och betungade av de nuvarande indirekta skatterna, i vilka, det behöver jag ej tillägga, herr finansministern ej föreslår några som helst sänkningar. Det känna vi alla av hans ställning till tullfrågan.</w:t>
        <w:br/>
        <w:br/>
        <w:t>Herr statsministern gjorde några erinringar i anledning av vad jag sade; han förstod icke min tankegång, sade han. Jag skall icke gå in på detta, då man icke bör syssla alltför mycket med vad man icke förstår. Men däremot vill jag säga, att jag förstod honom synnerligen väl, när han framhöll, att ifall Kungl. Maj:ts förslag icke tages nu, frågan kommer upp igen mycket snart.</w:t>
        <w:br/>
        <w:br/>
        <w:t>Ja, den påtryckning, som ligger i detta, vill jag hoppas att man inom det parti i kammaren, vars talan jag icke här kan föra, inom det liberala partiet, måtte så beakta, att man icke utan vidare väjer för en sådan påtryckning.</w:t>
        <w:br/>
        <w:br/>
        <w:t>Det är redan framhållet vid olika tillfällen förut, att denna fråga tillhör dem, där omättligheten är så stor, så länge den nuvarande ordningen består i de internationella förhållandena och även i fråga om staternas inre förhållanden, kan jag gärna tillägga, att det oupphörligt kommer att höjas rop på nya bördor, nya ökningar. Det är ett vanvettigt kapprustande man är inne på i hela Europa, och så länge det ännu icke lyckats genom gemensamma ansträngningar från de arbetande klasserna, vilka nog äro den starkaste faktorn, som här kan</w:t>
        <w:br/>
        <w:br/>
        <w:t>sättas in, att häjda denna kapprustning, så att det börjar gå nedåt igen, kunna vi vara vissa om, att vad som än beslutas, har man ganska snart nya krav på ökningar framme i svenska riksdagen igen. Därför bör det argument, som av herr statsministern framfördes, sannerligen icke vara ägnat att göra något som helst intryck på dem, som tänka kallblodigt på dessa förhållanden och som icke äro benägna att för det ena eller andra vackra talesättet offra deras intressen, som de äro sända hit att företräda: de stora massornas bästa, valmanskårens flertals önskningar och behov, att få sina synpunkter tillgodosedds, att få fram sina intressen såsom det behöves i ett land, vilket alltför länge varit styrt av en härskande minoritet.</w:t>
        <w:br/>
        <w:br/>
        <w:t>Jag skall icke närmare upptaga, men kan dock icke underlåta att framhålla det underliga intryck jag fick av den förklaring, som herr statsministern fann sig böra giva efter herr Hamrins anförande. Det var någonting som kom från hjärtanas djup ur kammaren, detta förvånade och jag måste tillägga från åtskilliga håll ganska visst något harmsna »åhå», varmed den förklaringen hälsades, att då herr statsministern sagt sig hava sökt förebygga organiserade opinionsyttringar, han nu ville ha hela tyngdpunkten lagd på ordet »organiserade». Detta är ett bra nära snuddande intill ett försök att föra kammaren genom den föregående förklaringen bakom ljuset. Naturligtvis vill jag icke beskylla herr statsministern för något sådant, men det måste konstateras, hur ytterligt nära den förklaringen ligger ett sådant försök, och det är helt visst med största spänning nästan hela kammaren motser de närmare förklaringar, som skola komma under debatten om den Rydénska interpellationen, och även huru de förklaringarna skola kunna bringas i samklang med protokollet över herr statsministerns första anförande i dag.</w:t>
        <w:br/>
        <w:br/>
        <w:t>Till sist är jag tvungen att säga några ord gentemot min granne här bakom mig. Herr Lindman gjorde sig skyldig till att söka försvara, jag nödgas säga den smutsbroschyr, som hans förlag låtit utsprida och icke upphört att sprida efter de offentliga, skarpa påpekningarna av vissa delar uti dess innehåll. Herr Lindman syntes anse, att de uttalanden, som där förekomma och särskilt det stycke, som jag läste upp, vari en parallell gjorts med Kumlamördarna, icke voro så farliga i alla fall, därför att, om man läste alla de 19 sidorna, man, förmodar jag han menade, var en smula härdad och icke märkte så noga, huruvida det var litet mera eller litet mindre som motståndarna beskylldes för, att det då passade mera i harmoni med det hela och man då icke fick samma chock, som man dock får, när man hör ett sådant där lösryckt citat. Men herr Lindman nöjde sig icke med att blott försvara denna av mig nu betecknade skrift, han gjorde försök att ur sin dossier, som han av outredd anledning tagit med sig hit, göra en axplockning, som skulle visa, att egentligen var det som stod i broschyren ganska väl befogat på sätt och vis och att det hade sina goda skäl att man drog fram detsamma.</w:t>
        <w:br/>
        <w:br/>
        <w:t>Han åberopade därvid ett anförande av herr Thyrén från den tiden han satt här i kammaren; jag minnes icke om det var från den tiden han var radikal — nej, det var det inte, det var senare. Det</w:t>
        <w:br/>
        <w:br/>
        <w:t>såväl dessa citat som några karikatyrer, vilka enligt herr Thyréns uppgifter förekommit i samma tidning, enligt sakens natur måste</w:t>
        <w:br/>
        <w:br/>
        <w:t>hava förekommit i ett ungsocialistiskt organ. Jag har också myc-</w:t>
        <w:br/>
        <w:br/>
        <w:t>ket riktigt sedermera förvissat mig om, att det var ur den Schrö-</w:t>
        <w:br/>
        <w:br/>
        <w:t>derska »Folkviljan» dessa citat voro hämtade, vilka nu spelas ut</w:t>
        <w:br/>
        <w:br/>
        <w:t>mot det socialdemokratiska partiet, oaktat denne individ sedan åtta</w:t>
        <w:br/>
        <w:br/>
        <w:t>år tillbaka tillsammans med Hinke Bergegren är formligen uteslu-</w:t>
        <w:br/>
        <w:br/>
        <w:t>ten ur det socialdemokratiska partiet och sedan dess hedrar även</w:t>
        <w:br/>
        <w:br/>
        <w:t>oss med sina utgjutelser ungefärligen på samma sätt och ibland till</w:t>
        <w:br/>
        <w:br/>
        <w:t>och med litet mera än vad han hedrar det borgerliga samhället.</w:t>
        <w:br/>
        <w:br/>
        <w:t>Denna metod att använda ungsocialistiska uttalanden såsom bevis för att socialdemokraterna vilja det ena eller andra är sannerligen icke något nytt i högeragitationen, den användes med större eller mindre framgång, ofta med stor framgång, inför oupplysta åhörare, som icke göra och icke kunna göra någon skillnad mellan dessa olika åskådningar. Men jag må bekänna, att jag hade icke väntat, att högerpartiets ordförande skulle här fortfarande försöka att på detta sätt draga ett likhetstecken mellan det socialdemokratiska partiet och det slags personer, vilka i pojkaktigt okynne skriva ned allt det grövsta de kunna få för sig, samma slags folk som gjorde den här lilla okynnesdemonstrationen i dag på förmiddagen med de röda flygbladen. Det är emellertid betecknande för hela högeragitationens läggning gentemot socialdemokratien, att den aldrig drager sig för att använda sådana slags vapen.</w:t>
        <w:br/>
        <w:br/>
        <w:t>Herr Lindman hade även ett annat citat, som hettes skola vara hämtat ur en artikel, som stått i »Social-Demokraten» och som rörde socialismens ställning till familjen såsom institution. Han läste upp några rader ur början av denna artikel om att vi vilja upplösa den »individernas tvångströja, förstöra den eländets och lasternas urkälla, som man behagar kalla familj.»</w:t>
        <w:br/>
        <w:br/>
        <w:t xml:space="preserve">Där slutade han citatet. Men som bekant är det ofta så, att om man klipper av ett citat utan att föra det ut till sin hela tanke, utan att ens gå så långt som till punkt i en mening, kan man få fram därur ganska besynnerliga ting. Jag skall därför tillåta mig, isynnerhet som saken icke är ny, utan varit på tal förut under våren, att läsa upp fortsättningen och börjar då mitt i en mening, enär man sanningskärt klippt av just där: »och i stället för det kyrkliga tvångsäktenskapet, vari kärleken ersatts av familjeförsörjarens galérslaveri för mannen och konventionell garanti för kost, husrum och socialt anseende — där denna garanti är möjlig — för </w:t>
      </w:r>
      <w:r>
        <w:rPr>
          <w:b/>
        </w:rPr>
        <w:t>kvinnan¹</w:t>
      </w:r>
      <w:r>
        <w:rPr>
          <w:b w:val="0"/>
        </w:rPr>
        <w:t>, att vi i stället för detta ”kristligt-äkta förbund”, vilja införa ett friare och värdigare äktenskap, som uteslutande är byggt på öm-</w:t>
        <w:br/>
        <w:br/>
        <w:t xml:space="preserve">sesidig böjelse». Vidare talas det i artikeln om penningäktenskapets ovärdighet, där utvecklas svårigheterna för medelklassen att bilda familj och äktenskapet inom arbetarklassen skildras i synnerligen mörka och drastiska färger; det nämnes, huru </w:t>
      </w:r>
      <w:r>
        <w:rPr>
          <w:b/>
        </w:rPr>
        <w:t>hustrun²</w:t>
      </w:r>
      <w:r>
        <w:rPr>
          <w:b w:val="0"/>
        </w:rPr>
        <w:t xml:space="preserve"> »som billigare arbetskraft tränger mannen ut på gatan till de arbetslösas flock och </w:t>
      </w:r>
      <w:r>
        <w:rPr>
          <w:b/>
        </w:rPr>
        <w:t>döttrarna²</w:t>
      </w:r>
      <w:r>
        <w:rPr>
          <w:b w:val="0"/>
        </w:rPr>
        <w:t xml:space="preserve"> genom vanvård och nöd råka i prostitutionens vidöppna avgrund, och den utslitna, förkrossade modern dukar under joker finner en tillflyktsort på fattighuset». Och så slutar artikeln:</w:t>
        <w:br/>
        <w:br/>
        <w:t>»Det är detta äktenskap och denna familj, som socialisterna vilja undergräva. — — De vilja frigöra kärleken och äktenskapet från penningens besudlande inflytande och på grundvalen av ett nytt ekonomiskt system upprätta en ny familj, framtidens familj, varifrån fattigdom och nöd äro utestängda och med den dess naturliga följer: brott och prostitution.&gt;</w:t>
        <w:br/>
        <w:br/>
        <w:t>Denna artikel var således, det måste man ju konstatera, skriven i en aggressiv ton. Författaren hade utan tvivel, när han skrev sina inledningsrader, något av det där ungdomliga humöret, som vill, såsom det heter, reta borgarna en smula, skrämma dem genom sina uttryckssätt. Men envar, som läser artikeln i sitt sammanhang, måste dock se och förstå, att meningen är att vända sig emot den vrångbild av en på kärlek grundad familj, som alltför ofta våra penningäktenskap äro. Och dessutom — och detta är så utomordentligt betecknande för högerns metoder — har artikeln stått införd i Social-Demokraten — för den 17 september 1886! Detta var några månader innan jag personligen tillträdde platsen som redaktör. Jag säger detta icke för att taga avstånd från artikeln, ty dess andemening och tanke är enligt min uppfattning alltjämt fullkomligt hållbar, fullkomligt riktig, men dess uttryck äro naturligtvis sådana, som under den första Sturmoch Drangperioden kunde oftare förekomma, men som så småningom ha tagit en annan form.</w:t>
        <w:br/>
        <w:br/>
        <w:t>Det är dock underbart i alla fall, att herr Lindman har gått tillbaka till en sådan 28 år gammal artikel i Social-Demokraten för att finna ett argument och ett vapen mot den nuvarande socialdemokratien! Det är en stridsmetod, som synes mig vara ovärdig ett parti, som vill kämpa med blanka vapen. Det är en stridsmetod, som erinrar bra mycket om vad som förekommer från tredje klassens agitatorers sida här och var ute i bygderna, där de tro sig obemärkta och icke anse sig behöva vara så noga med, hur uttrycken kunna falla, utan att det är dess bättre. ju mer drastiskt det drages till. Sådana försyndelser förekomma, såsom också herr Palmstierna framhöll, helt visst inom alla partier. Icke vill jag ikläda mig någon moralisk borgen för tillförlitligheten av varenda uppgift, som en socialdemokratisk agitator eller talare haft, eller för hållbarheten av varenda rad, som står i en socialdemokratisk broschyr. Men jag ber att härvidlag få göra den anmärkningen och det förbehållet, att det är ett något annat förhållande med de skrifter, som givas ut direkt från högkvarteret och spridas genom dess försorg, och skulle det inflyta i en sådan skrift uti en valstrids brådska något olämpligt.</w:t>
        <w:br/>
        <w:br/>
        <w:t>så tror jag verkligen icke att vi, därest vi därtill offentligen upp- Remiss av</w:t>
        <w:br/>
        <w:br/>
        <w:t>manades, skulle tveka att bestämt säga ifrån, att vi beklaga det proportion sådana uttryck influtit. Vad gör herr Lindman? Han ställer sig (Forts.) |</w:t>
        <w:br/>
        <w:br/>
        <w:t>1 nivå med dessa tredje rangens agitatorer ute i de mörkaste bygderna. Det synes mig att ledaren av ett stort parti icke borde göra så, herr Lindman.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1266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