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213</w:t>
      </w:r>
    </w:p>
    <w:p>
      <w:r>
        <w:rPr>
          <w:b/>
        </w:rPr>
        <w:t xml:space="preserve">Datum: </w:t>
      </w:r>
      <w:r>
        <w:t>1914-07-20</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Anders Pers (Liberala samlingspartiet, man)</w:t>
      </w:r>
    </w:p>
    <w:p>
      <w:r>
        <w:rPr>
          <w:b w:val="0"/>
        </w:rPr>
        <w:t>Jag skall be att få fästa kammarens uppmärksamhet på bestämmelsen i punkten b) i klämmen här, nämligen att avlöningsbeloppen skola utgå från och med månaden näst efter den, då riksdagen fattat beslut i ämnet. Den här bestäm-</w:t>
        <w:br/>
        <w:br/>
        <w:t xml:space="preserve">melsen må ju vara en obetydlighet i och för sig, men den har ep Om beredande mera vittgående betydelse. Det är helt nyligen, som vi på bankoey fuaare. utskottets tillstyrkan beslöto detsamma rörande riksbankens avriksgäldskonlöningsstat, men andra kammaren bestämde sig för, att avlönintorets </w:t>
      </w:r>
      <w:r>
        <w:rPr>
          <w:b/>
        </w:rPr>
        <w:t>kvinngarna¹</w:t>
      </w:r>
      <w:r>
        <w:rPr>
          <w:b w:val="0"/>
        </w:rPr>
        <w:t xml:space="preserve"> skulle utgå först vid årsskiftet. Att i denna kammare liga biträden. icke ett yrkande framställdes i samma riktning då som nu för- = (Forts.) klaras därutav, att riksbankens tjänstemän ha haft en hel del</w:t>
        <w:br/>
        <w:br/>
        <w:t>extra förmåner uti sina avlöningsförmåner, som med den nu beslutade avlöningsregleringen ha fallit bort, och man kunde</w:t>
        <w:br/>
        <w:br/>
        <w:t>då unna dem denna lilla förmån att få tillträda den nya avlö-</w:t>
        <w:br/>
        <w:br/>
        <w:t>ningen så där snart, men i fråga om dessa befattningshavare kan</w:t>
        <w:br/>
        <w:br/>
        <w:t>jag icke säga detsamma. De få komma i en så pass god ställ-</w:t>
        <w:br/>
        <w:br/>
        <w:t>ning, att man icke kan säga annat, än att de kunna vara till</w:t>
        <w:br/>
        <w:br/>
        <w:t>freds med att få tillträda den vid årsskiftet. Skulle riksdagen</w:t>
        <w:br/>
        <w:br/>
        <w:t>gå ifrån denna regel, blir det så, att vid varje avlöningsregle-</w:t>
        <w:br/>
        <w:br/>
        <w:t>ring, som ifrågakommer, framflyttas den till månaden näst efter</w:t>
        <w:br/>
        <w:br/>
        <w:t>den, då riksdagen fattat sitt beslut. Det blir en regel, som</w:t>
        <w:br/>
        <w:br/>
        <w:t>icke kan anses vara lämplig, utan tjänsteinnehavarne böra nog</w:t>
        <w:br/>
        <w:br/>
        <w:t>kunna nöja sig med att få de nya lönerna först, sedan året</w:t>
        <w:br/>
        <w:br/>
        <w:t>gått till ända. Utav denna anledning ber jag att få framställa</w:t>
        <w:br/>
        <w:br/>
        <w:t>år 1915.» Motiveringen skulle ändras i överensstämmels2 här-</w:t>
        <w:br/>
        <w:br/>
        <w:t>med. Det är sannolikt, att andra kammaren fattar ett beslut i överensstämmelse härmed, och om nu försia kammaren går med</w:t>
        <w:br/>
        <w:br/>
        <w:t>på mitt yrkande, så besparas riksdagen en votering, som torde</w:t>
        <w:br/>
        <w:br/>
        <w:t>vara onödig, då jag föreställer mig, att denna kammare icke vill</w:t>
        <w:br/>
        <w:br/>
        <w:t>ha den principen införd, att en avlöningsreglering skall träda i</w:t>
        <w:br/>
        <w:br/>
        <w:t>kraft så gott som omedelbart, efter det riksdagen fattat be-</w:t>
      </w:r>
    </w:p>
    <w:p>
      <w:pPr>
        <w:pStyle w:val="Heading2"/>
      </w:pPr>
      <w:r>
        <w:t>2. Johan Ekman (Liberala samlingspartiet, man)</w:t>
      </w:r>
    </w:p>
    <w:p>
      <w:r>
        <w:rPr>
          <w:b w:val="0"/>
        </w:rPr>
        <w:t xml:space="preserve">Så:om den siste ärade talaren påpekat, har bankoutskottet föreslagit ifråga om lönestaten för riksbankens tjänstemän, att nämnda avlöningsstat skall gälla från och med månaden näst efter den, då riksdagen fattat sitt beslut. I enlighet härmed har utskottet också framställt sitt förslag med avseende på lönen för de </w:t>
      </w:r>
      <w:r>
        <w:rPr>
          <w:b/>
        </w:rPr>
        <w:t>kvinnliga¹</w:t>
      </w:r>
      <w:r>
        <w:rPr>
          <w:b w:val="0"/>
        </w:rPr>
        <w:t xml:space="preserve"> befattningshavarne i riksgäldskontoret.</w:t>
        <w:br/>
        <w:br/>
        <w:t>Saken är icke av någon stor betydelse, men då denna kammare har bifallit förslaget i fråga om riksbankens tjänstemän, så förmodar jag, att kammaren även kommer att bifalla förslaget för ifrågavarande befattningshavare. Jag får därför yrka bifall till vad utskottet föreslagit.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