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w:t>
      </w:r>
    </w:p>
    <w:p>
      <w:r>
        <w:rPr>
          <w:b/>
        </w:rPr>
        <w:t xml:space="preserve">Datum: </w:t>
      </w:r>
      <w:r>
        <w:t>1914-08-22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Ljunggren (Frisinnade folkpartiet, man)</w:t>
      </w:r>
    </w:p>
    <w:p>
      <w:r>
        <w:rPr>
          <w:b w:val="0"/>
        </w:rPr>
        <w:t>Herr talman! Den fråga, som här föreligger, är ju en gammal välbekant sådan, och den har diskuterats så mycket, att det egentligen ej tjänar mycket till att nu återigen gå in på detaljer 'av densamma. Det torde ock så mycket mindre vara av nöden, som riksdagen så sent som år 1912 hade tillfälle att upptaga en sådan detaljgranskning och även upptaga till avgörande de olika krav i avseende på rösträttsbestämmelserna, som framställts i den nu föreliggande motionen. Det är väl icke heller gärna troligt, att denna kammare i stort sett ändrat uppfattning i denna fråga under den korta tid, som förflutit sedan 1912.</w:t>
        <w:br/>
        <w:br/>
        <w:t>Då jag icke dess mindre begärt ordet, har det föranletts av tvenne skäl.</w:t>
        <w:br/>
        <w:br/>
        <w:t>För det första har jag för min del i likhet med övriga re- Om ändring i</w:t>
        <w:br/>
        <w:br/>
        <w:t>servanter på denna punkt icke kunnat godkänna den motivering utskottet få presterat för sitt avslagsyrkande. I motsats till vad 1912 års konstitutionsutskott anförde i samma fråga, vill nämligen utskottsmajoriteten av 1 år göra gällande, att de grunder för den politiska rösträtten och valbarheten, som genom 1907 och 1909 års rösträttsreform fastslagits, icke böra upphävas eller ens förändras. Utskottet anser, att nämnda grunder i allt väsentligt böra bibehållas orubbade. Jag kan ju väl förstå, att detta står i god överensstämmelse med det vid flera tillfällen hörda påståendet, att vid rösträttsuppgörelsen av 1907 skulle hava ingåtts liksom något slags kontrakt mellan de då agerande parterna, ett kontrakt, som man på sina håll tydligen gör anspråk på, att även kommande riksdagar skola respektera. Men med min utgångspunkt för denna frågas bedömande finner jag det vara alldeles orimligt, att man förklarar de nu gällande rösträttsbestämmelserna vara »fastslagna» genom den kompromiss, som ingicks 1907. Jag kan icke föreställa mig annat än att rätt många även på högersidan ändå måste medge, att dessa bestämmelser i flera stycken verka synnerligen orättvist. Alldeles särskilt är ju detta förhållandet i vad det gäller det s. k. utskyldsstrecket, vilket också oförbehållsamt erkändes av 1912 års konstitutionsutskott. Detta streck drabbar, såsom det flera gånger inom riksdagen betonats, mycket ojämnt, och det är ofta beroende av rena tillfälligheter såsom exempelvis sjukdom, arbetslöshet, dyrtid, ekonomiska förluster o. s. v. Det verkar ock, som bekant, mycket olika inom olika kommuner, beroende på den i hög grad ojämna kommunala beskattningen. Det träffar sålunda »den oförvållade medellösheten lika väl som den oursäktliga pliktförsummelsen», för att citera uttalandet till 1906 års statsrådsprotokoll av då föredragande departementschefen.</w:t>
        <w:br/>
        <w:br/>
        <w:t xml:space="preserve">Icke heller kan jag för min del inse, att de övriga strecken, som det här är fråga om, för valrätt och valbarhet äro i någon mån sacrosancta eller i alla avseenden oantastbara. Då det emellertid för närvarande, så vitt jag förstår, uppenbarligen ej finnes den ringaste utsikt för att riksdagen i sin helhet nu skulle vilja vara med om en allmän revision på denna punkt. har jag icke ansett mig böra anteckna någon reservation i annan mån än gentemot utskottets motivering för sitt avslagsyrkande. Dessutom föreligger redan i nästa ärende på föredragningslistan frågan om politisk rösträtt och valbarhet för </w:t>
      </w:r>
      <w:r>
        <w:rPr>
          <w:b/>
        </w:rPr>
        <w:t>kvinnor¹</w:t>
      </w:r>
      <w:r>
        <w:rPr>
          <w:b w:val="0"/>
        </w:rPr>
        <w:t xml:space="preserve"> på samma villkor som för män, och det skulle då måhända icke vara ägnat att påskynda denna för nationen enligt min mening så betydelsefulla fråga, för den händelse man samtidigt med den frågans upptagande försökte uppriva en skarpare strid rörande en så genomgripande förändring i valrättsoch valbarhetsvillkoren, som det här är fråga om.</w:t>
        <w:br/>
        <w:br/>
        <w:t>I en punkt har jag emellertid liksom fem andra reservan-</w:t>
        <w:br/>
        <w:br/>
        <w:t xml:space="preserve">ter ansett, att en revision omedelbart borde och kunde vidtagas, nämligen i fråga om det s. k. fattigvårdsstrecket. I fråga om detta streck synes det mig åtminstone vara tämligen allmänt erkänt, att bestämmelserna i deras nuvarande lydelse äro allt annat än tillfredsställande, och även utskottsmajoriteten har ju, som synes, delat denna uppfattning. Men då borde utskottet, synes det mig, i likhet med vad fallet var redan 1912, hava kunnat gå med på det skrivelseförslag till Konungen, varom reservanterna hava förenat sig. Detta har emellertid utskottet icke gjort, emedan det förmenar, att »ifrågavarande grundlagsstadgande måste ställas i samband med fattigvårdslagstiftningen, samt att, då densamma vore under omarbetning, resultatet härav borde avvaktas, innan ändringsförslag i grundlagen begärdes». Detta skäl synes mig dock ej vara alldeles hållbart. För denna min uppfattning finner jag ett stöd även i den omständigheten, att fattigvårdskommitténs egen ordförande, landshövding Widén redan 1912 såväl i sin då väckta motion som i andra kammarens debatt med kraft framhöll nödvändigheten av att, för att begagna hans egna ord, »något snäarligen bleve gjort». Det förefaller mig, som om även vad utskottet självt anfört i denna fråga vore av den beskaffenhet, att det borde kunna beveka kammaren att redan nu vara med om en skrivelse i detta ärende. Som herrarna behagade finna, har ju ock en av kammarens högt ärade ledamöter på högersidan, herr Kjellén, redan i utskottet förenat sig med reservanterna i detta avseende. I den motion, som ligger till grund för utskottets betänkande, erinras om denna frågas behandling vid 1911 års riksdag, då det yttrades av fem reservanter tillhörande det liberala partiet, bland annat följande: »Tillämpningen synes ådagalägga, att de farhågor, som uttalats för ifrågavarande bestämmelsers verkningar, varit blott alltför väl grundade. Icke nog därmed, att antalet av dem, som genom ”fattigvårdsstrecket uteslötos från valrätt, blev oväntat stort, i synnerhet i vissa kommuner, utan där befanns också, att detta delvis berodde därpå, att bland de häftande för fattigunderstöd uppfördes en mängd valmän, gom själva icke voro medvetna om att hava erhållit sådant understöd. Valmän, som själva eller för </w:t>
      </w:r>
      <w:r>
        <w:rPr>
          <w:b/>
        </w:rPr>
        <w:t>hustru²</w:t>
      </w:r>
      <w:r>
        <w:rPr>
          <w:b w:val="0"/>
        </w:rPr>
        <w:t xml:space="preserve"> eller barn erhållit sjukvård å vissa allmänna anstalter och på grund av medellöshet icke behövt erlägga betalning för denna vård, ingingo sålunda bland de häftande. En sådan verkan av riksdagsordningens stadganden måste uppröra den allmänna rättskänslan, så mycket mer som stadgandet kom att drabba olika på olika orter, allt efter den olika karaktären av de sjukvårdsinrättningar, som anlitats samt olika uppfattning och anordning av det inbördes förhållandet mellan fattigvård och sjukvård inom respektive kommuner. Det synes oss uppenbart, att härutinnan yppat sig ett missförhållande, som kräver snar rättelse. Sådan rättelse bör närmast vara att vinna genom lämplig omformulering av vederbörande moment i riksdagsordningen — — —.»</w:t>
        <w:br/>
        <w:br/>
        <w:t>Även utskottet har i sitt betänkande här talat om nödvändig- Om ändring i</w:t>
        <w:br/>
        <w:br/>
        <w:t xml:space="preserve">heten av en ändring i berörda hänseende. Utskottet kan, såsom synes, icke gå med på de övriga ändringarna, men i fråga om 8 16 mom. b) anser det, att skäl föreligga att taga under övervägande, om det kan göras något. Utskottet erinrar också om rösträttsfrågans tidigare behandling samt om vad i detta sammanhang förekom vid framläggandet av 1906 års rösträttsproposition. Så säger utskottet bland annat: »Erfarenheten av stadgandets tillämpning torde emellertid hava ådagalagt, att de tidigare hysta betänkligheterna icke saknat all grund. Det lärer nämligen hava visat sig, att bestämmelsen verkat olika i skilda kommuner. Såsom exempel härpå har anförts, att medan i en kommun ett beviljat understöd, exempelvis i form av sjukhusvård, ansetts såsom fattigunderstöd, ett liknande understöd ansetts på grund av förekommande omständigheter icke äga denna natur i en annan kommun. Det lärer till följd härav inträffat, att personer, som åtnjutit understöd, vars karaktär av fattigunderstöd kunnat vara omtvistad, blivit uppförda bland de för fattigunderstöd häftande och berövade sin rösträtt utan att äga vetskap om anledningen härtill. Det kunde även ifrågasättas, huruvida understöd, som blott tillfälligtvis beviljats en person eller hans </w:t>
      </w:r>
      <w:r>
        <w:rPr>
          <w:b/>
        </w:rPr>
        <w:t>hustru²</w:t>
      </w:r>
      <w:r>
        <w:rPr>
          <w:b w:val="0"/>
        </w:rPr>
        <w:t xml:space="preserve"> eller barn, över huvud taget bör verka diskvalificerande i fråga om rösträtten även i sådana fall, då han utan eget förvållande kommit i belägenhet att behöva anlita det allmännas bistånd och möjlighet för honom icke finnes att ersätta den lämnade hjälpen.»</w:t>
        <w:br/>
        <w:br/>
        <w:t>Och vidare säger utskottet: »Det anförda torde vara nog att ådagalägga, att en modifikation av gällande bestämmelse angående det s. k. fattigvårdsstrecket kunde ifrågasättas.»</w:t>
        <w:br/>
        <w:br/>
        <w:t>Som härav framgår, tyckas alla numera vara tämligen ense om, att något bör göras. Då nu så starka skäl framförts för den uppfattningen, och särskilt från fattigvårdskommitténs ordförande, att något snart måste göras, och då jag för min del icke kan förstå, att denna fråga behöver i någon mån vara beroende av det resultat, till vilket fattigvårdskommittén kan komma, tillåter jag mig därför, herr talman, yrka avslag å utskottets hemställan och bifall till den av herr Edén m. fl. vid utlåtandet fogade reservation, vilken, såsom av betänkandet framgår, tillstyrker skrivelse till Kungl. Maj:t med begäran att Kungl. Maj:t täcktes låta utreda, huruvida icke &amp; 16 mom. b) i riksdagsordningen må kunna på sådant sätt förändras, att från valrätt icke uteslutes den, som av den allmänna fattigvården åtnjuter understöd av mera tillfällig beskaffenhet, samt för riksdagen framlägga det förslag, vartill utredningen kan föranleda.</w:t>
      </w:r>
    </w:p>
    <w:p>
      <w:pPr>
        <w:pStyle w:val="Heading2"/>
      </w:pPr>
      <w:r>
        <w:t>2. Jacob Larsson (Liberala samlingspartiet, man)</w:t>
      </w:r>
    </w:p>
    <w:p>
      <w:r>
        <w:rPr>
          <w:b w:val="0"/>
        </w:rPr>
        <w:t>Herr talman! Det var med ett visst intresse liksom ock med en liten svag förhoppning, som jag motsåg konstitutionsutskottets utlåtande över den socialdemokratiska rösträttsmotionen och framför allt, huru mina ärade</w:t>
        <w:br/>
        <w:br/>
        <w:t xml:space="preserve">partivänner inom utskottet skulle komma att ställa sig till denna motion i år. Att det icke kunde vara fallet, att de skulle hava frångått sin redan förut många gånger uttalade uppfattning därom, att valbestämmelserna från 1907 icke kunde anses vara tillfredsställande, det var jag ju övertygad om. Men jag hade dock en liten svag förhoppning, att mina ärade partivänner i utskottet skulle kunna finna, att tiden nu vore mogen för att taga ett positivt steg till förverkligande av en punkt, på det frisinnade programmet, som stått där sedan åtskilliga år tillbaka. Jag har nu förnummit av den föregående ärade talarens anförande, att det som betingat mina partivänners i utskottet ståndpunkttagande, var hänsynen till den liberala partimotionen angående </w:t>
      </w:r>
      <w:r>
        <w:rPr>
          <w:b/>
        </w:rPr>
        <w:t>kvinnorösträtten¹</w:t>
      </w:r>
      <w:r>
        <w:rPr>
          <w:b w:val="0"/>
        </w:rPr>
        <w:t xml:space="preserve">. Jag kan ju mycket väl förstå denna hänsyn och vill därom icke uttala något klander. Men för mig ställer sig saken så, att då jag sedan många år tillbaka — vilket visas av en motion som frambars 1906 i andra kammaren och under vilken jag satt mitt namn — omfattar den ståndpunkten, att politisk rösträtt bör tillkomma envar välfrejdad och fullmyndig svensk medborgare, man eller </w:t>
      </w:r>
      <w:r>
        <w:rPr>
          <w:b/>
        </w:rPr>
        <w:t>kvinna¹</w:t>
      </w:r>
      <w:r>
        <w:rPr>
          <w:b w:val="0"/>
        </w:rPr>
        <w:t xml:space="preserve">, och då jag dessutom icke kan komma ifrån, att de nuvarande rösträttsstreckens härjningar inom valmanskåren tala ett så tydligt språk om dessa rösträttsstrecks oberättigande, anser jag mig oförhindrad att, ehuru jag undertecknat den liberala partimotionen om </w:t>
      </w:r>
      <w:r>
        <w:rPr>
          <w:b/>
        </w:rPr>
        <w:t>kvinnornas¹</w:t>
      </w:r>
      <w:r>
        <w:rPr>
          <w:b w:val="0"/>
        </w:rPr>
        <w:t xml:space="preserve"> rösträtt, dock nu sluta mig till den reservation, som vid detta betänkande fogats av de socialdemokratiska utskottsledamöterna. Alldeles samma syfte, som avsetts med den liberala partimotionen om rösträtt för </w:t>
      </w:r>
      <w:r>
        <w:rPr>
          <w:b/>
        </w:rPr>
        <w:t>kvinnor¹</w:t>
      </w:r>
      <w:r>
        <w:rPr>
          <w:b w:val="0"/>
        </w:rPr>
        <w:t xml:space="preserve"> under samma betingelser som för män vinnes nämligen genom ett bifall till den av herr Olof Olsson m. fl. vid detta betänkande fogade reservationen.</w:t>
        <w:br/>
        <w:br/>
        <w:t>Det är i viss mån tillfredsställande att se, att icke blott de liberala reservanterna utan även utskottet i övrigt kommit till en enhällig uppfattning om, att åtminstone beträffande fattigvårdsstrecket en revision bör företagas; och det är att beklaga, att enhälligheten icke kunnat sträcka sig till ett positivt steg i den riktningen. Det hade alltid inneburit ett litet tuppfjät fram mot humanisering av de nuvarande rösträttsbestämmelserna.</w:t>
        <w:br/>
        <w:br/>
        <w:t>Jag kan likväl icke biträda de liberala reservanternas skrivelseförslag, därför att detta förslag, enligt min mening, icke träffar själva kärnpunkten i fattigvårdsstrecket. Såsom denna rösträttsbestämmelse, vilken från rösträtt utesluter den, som häftar för fattigunderstöd, är formulerad, är det själva häftandet som utgör diskvalifikationsgrund. Att en person råkat i den olyckliga belägenhet, att han för sig själv eller sina familjemedlemmar nödgats lita till den allmänna fattigvårdens stöd och på grund av fattigdom, sjukdom, arbetslöshet eller annan orsak icke mäktat återgälda fattigvårdssamhället den skuld han råkat i — det är detta, som utgör diskvalifikations-</w:t>
        <w:br/>
        <w:br/>
        <w:t>grund. Men 'med min syn på saken bör det icke under några förhållanden utgöra diskvalifikationsgrund.</w:t>
        <w:br/>
        <w:br/>
        <w:t>Det finnes en form för fattigunderstöd, som även enligt min uppfattning bör utgöra hinder för rösträtt nämligen den som ställer understödstagaren under fattigvårdssamhällets målsmansrätt. Detta anser jag utgöra diskvalifikationsgrund, därför att en sådan understödstagare icke äger att råda över sig själv lika litet som den, som är omyndig.</w:t>
        <w:br/>
        <w:br/>
        <w:t>Det torde vid detta tillfälle icke vara behövligt att ägna de nu bestående grunderna för rösträtten någon längre ingående kritik. Det har skett så många gånger förut, att ingenting nytt är att därom säga. Men jag vill hemställa till herrarna, om icke just nu alla skäl tala för att vi böra ägna en allvarlig tanke åt den verkan, som i synnerhet utskyldsoch fattigvårdsstrecken komma att utöva inom valmanskåren. Det lider intet tvivel — vi se redan allvarsamma förebud till depression i vårt näringsliv — att vi hava att vänta tider av stor arbetslöshet och stor nöd; och att detta i alldeles ohygglig grad kommer att öka antalet av de redan nu 100,000-tals oförvitliga svenska medborgare, som falla på detta rösträttsstreck, torde även vara alldeles uppenbart. I tider, som mana till samling, synes det mig att man bör låta gamla fördomar falla och icke genom vidhållandet av orättfärdiga rösträttsbestämmelser utestänga massor av svenska medborgare från utövande av den dyrbaraste medborgarrätten, nämligen att deltaga i utseendet av den folkrepresentation, i vars händer landets öde ligger.</w:t>
        <w:br/>
        <w:br/>
        <w:t>Av dessa skäl, herr talman, yrkar jag avslag å utskottets hemställan och bifall till den vid utlåtandet av herr Olof Olsson m. fl.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