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1296</w:t>
      </w:r>
    </w:p>
    <w:p>
      <w:r>
        <w:rPr>
          <w:b/>
        </w:rPr>
        <w:t xml:space="preserve">Datum: </w:t>
      </w:r>
      <w:r>
        <w:t>1915-04-10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Pehr August Andersson (Lantmanna- och borgarepartiet inom andrakammaren, man)</w:t>
      </w:r>
    </w:p>
    <w:p>
      <w:r>
        <w:rPr>
          <w:b w:val="0"/>
        </w:rPr>
        <w:t>Herr talman, mina herrar! Rörande den i detta jordbruksutskottsutlåtande behandlade frågan, i vilken jag är dels reservant och dels även motionär, ber jag att för en liten stund få taga kammarens uppmärksamhet i anspråk. Den ersättningsfråga, som här föreligger, har en viss förhistoria. Det är fråga om en person, som av kronan har blivit avhänd det som han ansett sig ha full äganderätt till. Det är enligt häradshövding Ribbings utredning visat, att redan den 2 november 1756 sålts till skatte ”/., mantal Smedjevik. Sedan är det ostridigt,</w:t>
        <w:br/>
        <w:br/>
        <w:t xml:space="preserve">att under den sedan dess gångna tiden hela hemmanet, tillsammans ?/s mantal, gått i köp mellan enskilda och lagfarits såsom kronoskatte. Redan den 2 mars 1871 såldes på exekutiv auktion detta hemman till en filosofie doktor Lagerhamn, som i sin tur transporterade köpet på den ifrågavarande sökanden Raabs fader, och utfärdades fastebrev på detta den 12 juli 1873. Ar 1875 ägde han hela hemmanet ”?/g mantal. Sedan friherre Axel F. Raab dött och hemmanet övergått till sökandens </w:t>
      </w:r>
      <w:r>
        <w:rPr>
          <w:b/>
        </w:rPr>
        <w:t>mor²</w:t>
      </w:r>
      <w:r>
        <w:rPr>
          <w:b w:val="0"/>
        </w:rPr>
        <w:t xml:space="preserve">, köpte denne Sten Raab det av </w:t>
      </w:r>
      <w:r>
        <w:rPr>
          <w:b/>
        </w:rPr>
        <w:t>henne²</w:t>
      </w:r>
      <w:r>
        <w:rPr>
          <w:b w:val="0"/>
        </w:rPr>
        <w:t xml:space="preserve"> och erhöll lagfart den 3 oktober 1887.</w:t>
        <w:br/>
        <w:br/>
        <w:t>Sålunda är det ostridigt att detta hemman över 100 år har genom köp och försäljningar gått från ägare till ägare och därunder lagfarits, varjämte även inteckningar beviljats i hemmanet. Det är ostridigt enligt utskottets förmenande, att så är förhållandet, men då det har visat sig, att den ena hälften var av den natur, att den stod som krono upptagen i jordeboken, väcktes genom exekutiv auktion och exekutiv försäljning frågan till liv om att undersöka detta förhållande. Vid undersökningen konstaterades, att den ena delen av hemmanet var av krononatur, och därpå följde, att kronan väckte process mot den person, som ansåg sig som ägare, nämligen denne friherre Sten Raab; slutligen vann kronan sin process mot honom och genom utslag den 8 juni 1900 avhändes sålunda denne friherre Sten Raab sin rättighet till hemmanet.</w:t>
        <w:br/>
        <w:br/>
        <w:t>Det synes oss motionärer, att detta är något, som man har att beteckna såsom en ganska svårartad princip i förhållande till den allmänna rättsuppfattningen i landet, att en jordägare eller annan fastighetsägare, vem det vara må, blir avhänd sin egendom, sedan han under så lång tid suttit i god tro och icke kunnat finna annat än att han är i sin fulla rätt, enär hans fångesmän före honom också vunnit och erhållit det bevis över äganderätten, som den stora allmänheten anser vara det enda säkra, nämligen lagfartsbeviset och fastebrevet. Det går knappast att inbilla någon, åtminstone ej mer än en mycket ringa del av folket, annat än, att om man har fått sitt fastebrev utställt, så är man ägare till det man har köpt, ärvt eller förvärvat.</w:t>
        <w:br/>
        <w:br/>
        <w:t>Under sådana förhållanden har också denne friherre Raab och hans företrädare eller fångesmän besuttit denna egendom under, som sagt, över hundra år. Nu upptäcktes genom den ekonomiska svårighet, som denne man kom i, och genom de exekutiva åtgärder, som vidtogos mot honom, att endast den ena hälften av hemmanet kunde säljas, vilket också skedde till ett pris av 500 kronor på exekutiv auktion. Därvid upptäcktes även, att kronan kunde väcka process om återvinning av den andra hälften.</w:t>
        <w:br/>
        <w:br/>
        <w:t>Nu synes det oss vara ganska egendomligt, om en sådan rättsprincip skall kunna vara gällande, låt vara att den är formellt riktig. Det allmänna rättsmedvetandet reagerar mot en sådan tankegång, att man egentligen skall behöva stå i en så osäker ställning till det som man anser vara rätt och billigt att man äger. Utskottet har här under sin prövning av denna fråga även erkänt, vad jag här har relaterat, nämligen att denna egendom har i över hundra år tillhört fri-</w:t>
        <w:br/>
        <w:br/>
        <w:t>herre Raab och hans företrädare, men utskottet säger, att då han nu har frånkänts denna rätt genom laga dom, det icke kan anses, att han har någon rätt att här kräva, därför att han har åtnjutit den inkomst, som hemmanet kunnat lämna under en så lång tid. Det är nämligen en skogsförsäljning, åberopar utskottet, varigenom han har gjort sig tillgodo det som han i hemmanet har nedlagt. För min del anser jag det vara en mycket vansklig princip, som man här skulle gå in på, om riksdagen här skulle erkänna, att om kronan eller annan på ett eller annat sätt kan väcka protest mot en ägare och finna något skäl, såsom här, att kunna återvinna ett hemman ifrån honom, det avgörande skälet skulle vara uteslutande det, att ägaren ifråga har kunnat genom skörd på ett eller annat sätt tillgodogöra sig hemmanets värde. Skulle den rättsprincipen bli gällande, att när man har skördat för ett hemmans värde, man sedan icke skulle ha någon fullständig äganderätt kvar, så tror jag säkerligen, att det vore en princip riskabel att fastslå och svår att fasthålla vid.</w:t>
        <w:br/>
        <w:br/>
        <w:t>Emellertid har dock jordbruksutskottet i sitt yttrande här sagt detta och framhållit, såsom det står på sid. 3, att kronan utan laga rätt återbekommit äganderätten till fastigheten, och att då vidare friherre Raab, efter det han inköpt fastigheten, å densamma avverkat och försålt skog till ett försäljningspris, som betydligt överstigit den av honom erlagda köpeskillingen; utskottet finner etc. Detta är, vad jag kan finna, det starkaste skäl, som utskottet här har kunnat framlägga för sitt avstyrkande.</w:t>
        <w:br/>
        <w:br/>
        <w:t>Jag vill som försvar för vår reservation hänvisa till vad vi i reservationen ha tydligt påpekat, då det gäller den framställning som också har gjorts, att icke friherre Raab fullföljt, vad han egentligen bort fullfölja för att bevaka sina rättigheter. Det har lunnits åtskilliga anledningar till att han icke har kunnat göra det. Dels har han, särskilt sedan processen väckts, haft dålig ekonomisk ställning och på grund av den osäkra ställning, han verkligen råkat i, icke haft medel att fortsätta processen, dels har det varit mycket förklarligt, att han icke kunnat tro sig om att kunna vinna någonting, då detta hemman icke funnits upptaget i kammarkollegii förteckning över lägenheter, som få skatteköpas; han kunde alltså icke tänka sig någon sådan åborätt att arbeta för.</w:t>
        <w:br/>
        <w:br/>
        <w:t>Att kronans tjänstemän i detta fall begått ett fel är ju ostridigt och kan ej motsägas. Det säges att detta fall icke fullständigt överensstiämmer med de under bruk skatteköpta frånskilda lägenheterna, men det kan icke egentligen förnekas, att det i viss mån finnes ett samband. Det är, som vi säga i reservationen så, att analogier med de under bruk skatteköpta hemmanen förefinnas i detta fall därutinnan, att kronan genom sina tjänstemäns åtgärder givit anledning till den goda tro, i vilken hemmansinnehavaren förvärvat och besuttit jorden.</w:t>
        <w:br/>
        <w:br/>
        <w:t>En annan omständighet, som också är att taga i betraktande, är, att hade friherre Raab haft till motpart i rättegången någon annan än kronan, då hade han vid det tillfället kunnat åberopa hävd. Men</w:t>
        <w:br/>
        <w:br/>
        <w:t>det var icke nu förhållandet. Således var det många omständigheter, som gjorde, att han icke mäktade fullfölja sin talan på sätt han kanske 1 annat fall kunde ha gjort. Hovrättsrådet Ribbing frångår icke heller i den utredning han gjorde, att det skulle kunnat vara möjligt för friherre Raab att väcka fråga om vinnande av åborätt.</w:t>
        <w:br/>
        <w:br/>
        <w:t>Alltnog, hela denna fråga är en principfråga av en sådan beskaffenhet, att jag och min medreservant icke kunna annat än i detta fall strängt hålla på den reservation, vi här hava avgivit, och fastslå, att det är en moralisk rätt, som här ovillkorligen kräves, samt att det skulle bli en princip, som säkerligen många bland landets jordbrukare skulle finna vara ganska vansklig, om riksdagen här bestämde, att hänsyn icke skall tagas till den enskildes rätt, oaktat han är i god tro.</w:t>
        <w:br/>
        <w:br/>
        <w:t>Granskar man nu de förhållanden, som förut hava rått rörande sådana saker, och ser man på det kungliga brev, som utgavs den 29 augusti 1913 angående utredning i den så kallade åborättsfrågan, så finner man, att kommitterade bland annat fingo i uppdrag att »dels verkställa utredning rörande antalet och beskaffenheten av de å så kallade rekognitionsskogshemman samt å under bruk skatteköpta hemman befintliga lägenheter — — — — — — , dels ock, därest utredningen skulle giva vid handen, att beträffande lägenhetsinnehavare, som frånvunnits sin besittningsrätt, billighetsskäl i särskilda fall synas böra föranleda ytterligare åtgärder från statens sida, därom hos Kungl. Maj:t göra anmälan». Det är vad som bestämdes i åbokommitténs instruktion. Alltså framgår det, att en fråga sådan som denna även inför vederbörande har tagits i beaktande och sålunda icke är så obetydlig, som den kanske kunde synas för många.</w:t>
        <w:br/>
        <w:br/>
        <w:t>Allt som allt, hava vi reservanter i detta fall nu framhållit, att friherre Raab borde hava en ersättning för den förlust, som faktiskt har tillfogats honom. Man kan väl icke framskaffa någon säkrare norm härför, än om man till grund för denna ersättning lägger den köpeskilling, som kronan, sedan den återvunnit hemmanet, vid försäljningen erhöll, det vill säga ett belopp av 4,080 kronor plus ränta; och synes det oss, att det av rent moraliska rättsgrunder icke är möjligt annat än att yrka på, att denna i vår reservation gjorda framställning måtte vinna kammarens bifall.</w:t>
        <w:br/>
        <w:br/>
        <w:t>Jag skall för min del icke längre orda i denna fråga, då den enligt mitt förmenande talar för sig själv, om man betraktar den ifrån fullt moraliska grunder, låt vara att det formella, det juridiska icke fullkomligt överensstämmer med den allmänna åskådningen i detta fall. Ett är dock säkert, och det är, att blir det genom riksdagens beslut fastslaget, att våra lagfartsbevis äro så osäkra papper, som det vill synas av vad här förekommit, då torde det bli en ganska stor oro bland den svenska allmänhet, som på grund av sådana lagfartsbevis sitter och äger någon fastighet; och det är icke blott själva äganderätten som här lider ett ganska stort avbräck, utan det är också något annat. Ty vad är det för värde i de inteckningar, som finnas i ett hemman, om man när som helst, ovetande som man är huruvida ett sådant förbiseende för längre tid tillbaka av någon kronans tjänsteman har ägt rum beträffande ens fastighet, måste vara beredd på att</w:t>
        <w:br/>
        <w:br/>
        <w:t>få veta, att de faststälda inteckningarna och fordringsbevisen icke hava någon betydelse? Även i det här föreliggande fallet visar det sig, att så är förhållandet, i det att icke allenast ägaren, utan på samma gång de som hade att fordra av honom, stodo i samma osäkra ställning.</w:t>
        <w:br/>
        <w:br/>
        <w:t>Det är, som sagt, ett ganska svårt fall detta, och det är ett fall, beträffande vilket jag för min del vädjar till denna kammare att beakta dessa förhållanden samt fastslå, att det icke är den starkare, som skall undertrycka den svagare. Ty i detta fall få vi väl ändå anse, att det icke är rätt, att kronan, som är den starkare parten, verkligen får undertrycka den svagare, den enskilde. Det är icke heller något särskilt statsändamål, som därmed vunnes; ja, Jag tror att det icke kan vara till statens nytta, utan att det i stället är till statens skada, om man slår in på den principen, att kronan under vissa förevändningar och formler skall kunna få skada den enskilde på ett sådant sätt, som här har skett.</w:t>
        <w:br/>
        <w:br/>
        <w:t>Av dessa skäl, herr talman, får jag yrka, att kammaren måtte bifalla den reservation, som av mig och herr Nilsson i Linnås blivit vid detta utskottsutlåtande framställd.</w:t>
      </w:r>
    </w:p>
    <w:p>
      <w:pPr>
        <w:pStyle w:val="Heading2"/>
      </w:pPr>
      <w:r>
        <w:t>2. Sven Linders (Socialdemokraterna, man)</w:t>
      </w:r>
    </w:p>
    <w:p>
      <w:r>
        <w:rPr>
          <w:b w:val="0"/>
        </w:rPr>
        <w:t>Herr talman, mina herrar! Det är ju klart, att man i en sådan fråga som denna alltid kan finna känsloskäl, som tala för att man billigtvis bör gå en sådan begäran till mötes, som den motionärerna i detta fall hava framställt. Men då jag är fullt förvissad om att, i likhet med utskottet, kammaren skall vara på det klara med att realitetsskälen dock väga så bestämt emot ett bifall till motionärernas yrkande, lika väl som emot ett bifall till vad den ene reservanten nu här har yrkat, så vill jag icke upptaga tiden med annat än ett par synpunkter gent emot vad denne reservant, som tillika är den förste talaren i ärendet, har framkastat.</w:t>
        <w:br/>
        <w:br/>
        <w:t>Jag vill då först fästa mig vid, att reservanterna här hava yrkat på en ersättning av 7,548 kronor. 1 den motivering de använt för att komma till denna summa, hava reservanterna bland annat framhållit, att de stannat vid detta belopp, »enär av gjorda utredningar något mera speciellt icke framgått rörande fastighetens verkliga värde». Detta hava reservanterna konstaterat i sin reservation. Men det var nägot helt annat, när herr Andersson i Knäppinge såsom motionär motiverade sin framställning. Då var han inne på en helt annan väg och talade om att det belopp, som staten i detta fall rättvisligen borde medge, skulle röra sig om i runt tal 35,000 kronor.</w:t>
        <w:br/>
        <w:br/>
        <w:t>Hur hava nu reservanterna kommit till en annan uppfattning? Jo, det grundar sig därpå, att man kommit underfund med, att staten vid hemmansdelens försäljning icke fått mer än 4,080 kronor; och då vill man till detta belopp lägga 5 9/o ränta från den dag, då staten bekom köpeskillingen. Men jag</w:t>
        <w:br/>
        <w:br/>
        <w:t>vill säga, att skulle man även finna billighetsskäl tala för ett Ang. ersättsådant yrkande, så stöter man dock på en allvarlig invändning. rd! ; fö Om nämligen friherre Raab skulle haft äganderätt, förutsätter ”f;- viss för detta att staten först skulle hava erhållit skatteköpeskillingen. lust. Om således staten av billighetsskäl avstode sin erhållna köpe- = (Forts) skilling, så kvarstode dock att staten icke fått sitt vid en ute-</w:t>
        <w:br/>
        <w:br/>
        <w:t>bliven skattelösning. Men om då man går ut ifrån, att billighets-</w:t>
        <w:br/>
        <w:br/>
        <w:t>skäl skulle tala för att kronan nu avstode från sin bekomna köpeskilling plus räntan, så bör naturligtvis som en Iogisk konsekvens av detta också följa, att friherre Raab skulle vara</w:t>
        <w:br/>
        <w:br/>
        <w:t>skyldig att erlägga skattelöseskilling jämte ränta. Jag har emellertid icke alls blivit övertygad om att billighetsskäl tala</w:t>
        <w:br/>
        <w:br/>
        <w:t>till förmån för friherre Raab i det fallet. Utskottet har när-</w:t>
        <w:br/>
        <w:br/>
        <w:t>mare motiverat sin ståndpunkt, visserligen i korta drag men</w:t>
        <w:br/>
        <w:br/>
        <w:t>dock tillräckligt tydligt för att kammarens ledamöter med lätt-</w:t>
        <w:br/>
        <w:br/>
        <w:t>het skola kunna sätta sig in i utskottets tankegång.</w:t>
        <w:br/>
        <w:br/>
        <w:t>Nu säga emellertid reservanterna gent emot utskottet, att</w:t>
        <w:br/>
        <w:br/>
        <w:t>utskottet icke aktat nödigt att anställa någon särskild undersökning beträffande den eventuella rätt, som friherre Raab skulle haft att sitta kvar såsom åbo på hemmansdelen i fråga. Det förefaller mig vara ganska pretentiöst av reservanterna att kräva, att utskottet skulle verkställa en fullständig utredning om huruvida friherre Raab ägde en sådan rättighet eller icke. Det borde herr Andersson i Knäppinge ha tänkt på som motionär! Emellertid skulle det komma alldeles post festum, om man nu skulle försöka sig på en sådan utredning. Det förefaller så mycket mera pretentiöst av reservanterna att kräva denna undersökning av utskottet, som friherre Raab själv icke på något sätt sökt göra gällande vid lösandet av tvisten mellan honom och kronan på sin tid, att han haft någon som helst sådan rätt. Nu sammanhängde naturligtvis detta med de ekonomiska förhållanden, vari friherre Raab då råkat. Jag kan ingenting påstå om den saken, men det ligger dock nära till hands att tänka sig att, därest friherre Raab upprätthållit ett sådant krav på åborätten och fått denna rätt sig tillerkänd, det skulle blivit till hans fordringsägares favör och egentligen icke till hans egen.</w:t>
        <w:br/>
        <w:br/>
        <w:t>Nu är det ju omständigheter, som vitsorda, att det är en ganska genant härva, som här rullats upp. Dels ha ju både friherre Raab och hans närmaste företrädare under en lång följd av år haft lagfart å egendomen i fråga, och dels har kammarkollegium icke upptagit hemmansdelen i sin förteckning på hemman av krononatur. Men för denna uraktlåtenhet av den ene eller andra tjänstemannen, som försyndat sig i detta avseendet, skall man väl icke utan vidare göra staten ansvarig.</w:t>
        <w:br/>
        <w:br/>
        <w:t>Herr Andersson i Knäppinge talade nyss om, att de analoga förhållandena skulle göra, att man icke skulle komma tillrätta med trassligheterna beträffande åborna å rekognitionsskogarna ifall riksdagen ginge mot honom här. Jag vill gent emot detta</w:t>
        <w:br/>
        <w:br/>
        <w:t>säga, att det skulle vara en underlig analogi att utan vidare jämföra detta fallet med de fall, som röra kronoåborna på de gamla rekognitionsskogarna. Där är det bolag och andra mellanhänder, som fått skattelösa icke blott väldiga ägovidder utan jämväl kommit att omfatta åbornas hemmansdelar.</w:t>
        <w:br/>
        <w:br/>
        <w:t>Bland annat som den siste ärade talaren anförde var också det, att friherre Raab numera skulle vara utestängd från möjligheten att få någon som helst juridisk rätt till ersättning för vad han hade förlorat. Reservanterna framhålla också, att detta skulle öka skälen för att man borde låta billighetsskälen tala till förmån för ett tillmötesgående av reservanternas önskan sådan denna framställts i deras yrkande. Att den omständighet att en person försuttit sin rätt, och vid det tillfälle som givits, icke begagnat den, att detta skulle öka skälen till att man nu skulle bevilja honom en ersättning förefaller dock bra underligt, ja så underligt, att jag icke kan sätta mig in i den tankegång, som legat till grund för motionärernas motivering.</w:t>
        <w:br/>
        <w:br/>
        <w:t>Herr Andersson i Knäppinge påstod dessutom, att det realitetsskäl, som utskottet framlade, nämligen att friherre Raab redan sålt mycket skog från hemmanet till belopp som betydligt överskred köpeskillingen, skulle vara ett ytterligare bevis för att hemmanet vore mera värt än köpeskillingen utvisade. Ja, det där hör också till dessa underliga argument som man står frågande inför. Att man sålt stora värden av en fastighet skall väl icke behöva motivera att den egentligen har större värde än köpeskillingen utvisar. Ett sådant underligt argument kan man dock icke gärna gå med på.</w:t>
        <w:br/>
        <w:br/>
        <w:t>Ja, herr talman, med stöd av vad jag här i korthet tilllåtit mig andraga och under åberopande av vad utskottet i övrigt påvisat, ber jag få yrka bifall till utskottets hemställan.</w:t>
      </w:r>
    </w:p>
    <w:p>
      <w:pPr>
        <w:pStyle w:val="Heading2"/>
      </w:pPr>
      <w:r>
        <w:t>3. unknown (–, –)</w:t>
      </w:r>
    </w:p>
    <w:p>
      <w:r>
        <w:rPr>
          <w:b w:val="0"/>
        </w:rPr>
        <w:t>Herr talman! Det är väl ingen, som sätter i fråga annat, än att alla juridiska skäl tala för utskottets hemställan i denna del. Den föregående ärade talaren har framhållit, att friherre Raab har försuttit sin rätt, då han icke gick längre än till häradsrätten med processen rörande denna fastighet. Men då man vet, att lagstiftningen på detta område är sådan, att man icke kan vinna något i ett sådant mål som detta på juridisk väg, fanns det ju heller inga skäl för friherre Raab att fortsätta rättegången i högre instans.</w:t>
        <w:br/>
        <w:br/>
        <w:t>Däremot tala enligt min uppfattning alla billighetsskäl för ett bifall till reservationen. Utskottet självt erkänner, att denna fastighet sålts såsom skattejord från slutet av 1700-talet den ena gången efter den andra ända fram till denna tid. Ingen har haft en aning om annat, än att fastigheten var skattejord och att den, som hade lagfart på fastigheten, också hade full äganderätt till densamma såsom är fallet med all skatteköpt egendom. När friherre Raab fiek lagfart den 3 oktober 1887, inne-</w:t>
        <w:br/>
        <w:br/>
        <w:t>höll lagfartsbeviset också, att det var kronoskattejord han köpt. Han hade således ingen som helst anledning att misstänka, att han icke hade full äganderätt till denna jord likaväl som till de andra 3/16 mantal, som han ägde. Så kommer kammarkollegium och anhängiggör denna rättegång, han förlorar, fastigheten säljes och han får gå ifrån det hela utan någon som helst ersättning.</w:t>
        <w:br/>
        <w:br/>
        <w:t>Jag finner för min del det vara mycket betänkligt, om den uppfattningen skall tränga igenom vårt folk, att icke statens egna institutioner ha något vitsord. Häradsrätten har ju, generation efter generation, sanktionerat de fång, som skett av egendomen, och så kommer staten hundra år efter det detta börjat tillämpas och säger: Nej, detta är icke laga fång, utan detta är statens egendom, oaktat statens institutioner sanktionerat köpen av egendomen. Jag har den uppfattningen, att ett sådant förfarande till den grad undergräver rättssäkerheten och den allmänna tilltron till beståndet av äganderätten, att man ickz2 Ke kunna gå med på ett sådant beslut som utskottet här föreslagit.</w:t>
        <w:br/>
        <w:br/>
        <w:t xml:space="preserve">Då jordbruksutskottet framhåller att friherre Raab sålt skog från fastigheten till belopp, som överstiger köpeskillingen för densamma, vill jag erinra, att han köpte fastigheten av sin </w:t>
      </w:r>
      <w:r>
        <w:rPr>
          <w:b/>
        </w:rPr>
        <w:t>mor²</w:t>
      </w:r>
      <w:r>
        <w:rPr>
          <w:b w:val="0"/>
        </w:rPr>
        <w:t xml:space="preserve"> och att den köpeskilling, som då betalades, icke kan utan vidar2 anses vara det verkliga värdet på fastigheten. Men oavsett detta spelar härvidlag köpeskillingen för skogen ej den minsta roll. Här är det den principen, som är det avgörande: Skall utvecklingen av denna sak hundra år igenom grunda äganderätt till fastighet eller skall den icke göra det? Köpeskillingen för skogen spelar icke minsta roll, utan det är principen om äganderätt eller icke äganderätt det gäller; och skola vi upprätthålla principen om äganderättens okränkbarhet i landet, böra vi därför bifalla motionen.</w:t>
        <w:br/>
        <w:br/>
        <w:t>Jag ber på dessa grunder, herr talman, att få yrka bifall till reservationen.</w:t>
        <w:br/>
        <w:br/>
        <w:t>vidgas därhän, att densamma jämväl finge förberedelsevis till pröv-</w:t>
        <w:br/>
        <w:br/>
        <w:t>ning upptaga ersättningsrespektive understödsanspråk, vilka tilläventyrs ej blivit tillgodosedda genom 1914 års riksdagsbeslut;</w:t>
        <w:br/>
        <w:br/>
        <w:t>3:0) att engrossister, som anse sig på grund av monopolets införande nödgas upphöra med sin verksamhet, ersättas med 10 2 av omsättningen av tobaksvaror i parti under år 1914 beräknat efter nettoförsäljningsfakturor, dock endast i de fall, där omsättningen av tobaksvaror uppgår till minst hälften av engrossistens hela försäljning. För firmor, som icke existerat i fem år, minskas ersättningen med 20 2 för varje år mindre än fem år, till sammanlagt ersättningsbelopp av högst kronor 1,452,600;</w:t>
        <w:br/>
        <w:br/>
        <w:t>förhöjningar skall det berättigade i dessa prövas. För den, som ej varit sysselsatt minst fem år i branschen, minskas ersättningen en-</w:t>
        <w:br/>
        <w:br/>
        <w:t>sättningar till ligt ovanstående med 10 2 för varje felande år i denna tid. Ersättföljd av statsning utgår till anställd hos tobaksengrossist endast om minst hälften</w:t>
        <w:br/>
        <w:br/>
        <w:t>av dennes omsättning utgjorts av tobaksvaror, till sammanlagt ersättningsbelopp av högst kronor 2,013,600;</w:t>
        <w:br/>
        <w:br/>
        <w:t>5:0) att alla fabrikanternas kontrakt med personal, som genom monopolets införande icke komma till nytta eller äro ersatta enligt mom. 4:0), ersättas så att skadeståndsskyldighet för den enskilde icke kan ifrågakomma. Härav eventuellt följande ökad ersättning att utgå av redan reserverade medel för oförutsedda utgifter;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1296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