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1334</w:t>
      </w:r>
    </w:p>
    <w:p>
      <w:r>
        <w:rPr>
          <w:b/>
        </w:rPr>
        <w:t xml:space="preserve">Datum: </w:t>
      </w:r>
      <w:r>
        <w:t>1916-06-03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Allan Cederborg (Liberala riksdagspartiet, man)</w:t>
      </w:r>
    </w:p>
    <w:p>
      <w:r>
        <w:rPr>
          <w:b w:val="0"/>
        </w:rPr>
        <w:t>I avseende å vad herr Lindman yttrade beträffande möjligheterna att utbyta livränta mot kapital, ber jag få påpeka, att redan utskottets förslag innebär ett tillmötesgående i viss mån av de önskemål man kan ha i detta avseende, så långt de kunna anses vara berättigade. Att gå utöver vad utskottet ifrågasatt, tror jag icke är lämpligt. Be-</w:t>
        <w:br/>
        <w:br/>
        <w:t>icke vidare uppehålla mig vid den punk-</w:t>
        <w:br/>
        <w:br/>
        <w:t>olycksfall i ten. Jag vill endast påpeka, att jag tror, att den utredning</w:t>
        <w:br/>
        <w:br/>
        <w:t>Lindman säger, att det</w:t>
        <w:br/>
        <w:br/>
        <w:t>som här lämnats beträffande den utländska lagstiftningen och dess verkningar, är fullt tillräcklig. Det är sant, som herr</w:t>
        <w:br/>
        <w:br/>
        <w:t>här gäller ett provisorium, och att man</w:t>
        <w:br/>
        <w:br/>
        <w:t>då icke bör binda sig, men det behöver man ej heller göra genom bifall till utskottets förslag.</w:t>
        <w:br/>
        <w:br/>
        <w:t>Beträffande slutligen den reservation, gom är avgiven av herr Branting m. fl. i syfte att få bort de fyra första dagarnas karenstid, vill jag säga, att om kammaren, som jag antager och hoppas, kommer att ifråga om försäkringsplikt eller ersättningsplikt under karenstiden sluta sig till utskottsmajoritetens mening, så innebär ju det ett godkännande av den uppfattning, som här hävdats av riksförsäkringsanstalten. Har man tilltro till denna anstalts förmåga att på ett tillfredsställande sätt lösa de uppgifter, som komma att ställas på anstalten, så synes det mig, att man då också bör taga hänsyn till vad som från denna anstalts sida i andra avseenden anförts. Kan det vara skäl att riskera möjligheten för anstalten att på ett tillfreds-</w:t>
        <w:br/>
        <w:br/>
        <w:t>ställande sätt lösa sin</w:t>
        <w:br/>
        <w:br/>
        <w:t>uppgift genom att här beträffande de</w:t>
        <w:br/>
        <w:br/>
        <w:t>4 första dagarna frångå det förslag, som är från anstaltens sida förordat och sedan av Kungl. Maj:t upptaget? För min del tror</w:t>
        <w:br/>
        <w:br/>
        <w:t>jag det icke. Och jag att se den frågan ens</w:t>
        <w:br/>
        <w:br/>
        <w:t>vill påpeka, att det lär icke gå för sig am för sig. Denna bestämmelse om 4</w:t>
        <w:br/>
        <w:br/>
        <w:t>dagars karenstid måste, såvitt jag kan förstå, ses i sammanhang med de bestämmelser, som på olika ställen föreslås angående</w:t>
        <w:br/>
        <w:br/>
        <w:t>de förmåner, som skola</w:t>
        <w:br/>
        <w:br/>
        <w:t>Jag tror, att man</w:t>
        <w:br/>
        <w:br/>
        <w:t>gör oklokt, om man tar upp en strid om</w:t>
        <w:br/>
        <w:br/>
        <w:t>denna punkt. Det förefaller mig vara vida klokare, om man satte in sin kraft på dessa andra av mig antydda punkter till stöd för den mening utskottsmajoriteten omfattar.</w:t>
        <w:br/>
        <w:br/>
        <w:t xml:space="preserve">Till </w:t>
      </w:r>
      <w:r>
        <w:rPr>
          <w:b/>
        </w:rPr>
        <w:t>änka²</w:t>
      </w:r>
      <w:r>
        <w:rPr>
          <w:b w:val="0"/>
        </w:rPr>
        <w:t xml:space="preserve"> eller änkling, som uppbär livränta och före fyllda sextio år ingår nytt äktenskap, utgives ett kapital för en gång, motsvarande tre fjärdelar av den avlidnes årliga arbetsförtjänst.</w:t>
        <w:br/>
        <w:br/>
        <w:t>det stycke, som började med »till den avlidnes fader» och slutade med »av arbetsförtjänsten».</w:t>
      </w:r>
    </w:p>
    <w:p>
      <w:pPr>
        <w:pStyle w:val="Heading2"/>
      </w:pPr>
      <w:r>
        <w:t>2. David Pettersson (Första kammarens nationella parti, man)</w:t>
      </w:r>
    </w:p>
    <w:p>
      <w:r>
        <w:rPr>
          <w:b w:val="0"/>
        </w:rPr>
        <w:t>Herr Lindman m. fl. har vid denna paragraf avgivit en reservation, att ur utskottets förslag skall utgå det stycke, som börjar med »till den avlidnes fader» och slutar med »av arbetsförtjänsten». Med stöd av den motivering, som vi reservanter där ha anfört, skall jag be att få yrka bifall till reservationen.</w:t>
      </w:r>
    </w:p>
    <w:p>
      <w:pPr>
        <w:pStyle w:val="Heading2"/>
      </w:pPr>
      <w:r>
        <w:t>3. Herman Lindqvist (Socialdemokraterna, man)</w:t>
      </w:r>
    </w:p>
    <w:p>
      <w:r>
        <w:rPr>
          <w:b w:val="0"/>
        </w:rPr>
        <w:t xml:space="preserve">Det är ju en nyhet, som är införd här och under vilken det ligger rent mänskliga känslor, kan man säga, då här föreskrives att ersättning skall utgå till den avlidnes fader eller </w:t>
      </w:r>
      <w:r>
        <w:rPr>
          <w:b/>
        </w:rPr>
        <w:t>moder²</w:t>
      </w:r>
      <w:r>
        <w:rPr>
          <w:b w:val="0"/>
        </w:rPr>
        <w:t>, därest de för sitt uppehälle varit av den avlidnes arbete beroende. Som jag tror andra kammaren skall vara tacksam för att utskottet tagit upp och infört detta stadgande i sitt förslag, skall jag därför be att i korthet få yrka bifall till utskottets förslag. |</w:t>
      </w:r>
    </w:p>
    <w:p>
      <w:pPr>
        <w:pStyle w:val="Heading2"/>
      </w:pPr>
      <w:r>
        <w:t>4. Axel Lindqvist (Socialdemokraterna, man)</w:t>
      </w:r>
    </w:p>
    <w:p>
      <w:r>
        <w:rPr>
          <w:b w:val="0"/>
        </w:rPr>
        <w:t xml:space="preserve">Herr talman! Det finnes en detaljpunkt så att säga i denna paragraf, som jag ber att få fästa uppmärksamheten något vid. T slutet av denna paragraf finnes det stadgat, att om ett olycksfall medför en arbetares död, skall, om han eller </w:t>
      </w:r>
      <w:r>
        <w:rPr>
          <w:b/>
        </w:rPr>
        <w:t>hon²</w:t>
      </w:r>
      <w:r>
        <w:rPr>
          <w:b w:val="0"/>
        </w:rPr>
        <w:t xml:space="preserve"> efterlämnar omyndiga barn, till dessa utgå en årlig livränta, tills barnet fyllt femton år. Man har härmed velat fastslå rätten till ersättning för det förlorade familjestödet, och man har velat fastslå, att denna rätt bör finnas, intill dess barnet kan sig självt försörja. Denna princip, att barnet bör ha understöd efter en avliden fader eller </w:t>
      </w:r>
      <w:r>
        <w:rPr>
          <w:b/>
        </w:rPr>
        <w:t>moder²</w:t>
      </w:r>
      <w:r>
        <w:rPr>
          <w:b w:val="0"/>
        </w:rPr>
        <w:t>, att det bör ha detta intill dess det kan sig självt försörja, anser jag för min del är fullt riktig. Ja, den enda riktiga. Men denna rätt finnes icke för barnet, om utskottets förslag här blir antaget, då nämligen åldersgränsen är satt så lågt som till femton år. Den socialdemokratiska gruppen har väckt en motion, däri bland annat föreslagits en ändring i denna paragraf, nämligen att åldersgränsen skulle höjas till 18 år. Denna motion har icke av utskottet blivit tillstyrkt. Ja, det synes, som om den inom utskottet tillvunnit sig ganska litet beaktande, då icke någon reservation blivit avgiven till förmån för denna motion.</w:t>
        <w:br/>
        <w:br/>
        <w:t>Utskottets skäl för sitt avslagsyrkande, sådana de framställas i utskottsbetänkandet, synas mig vara mycket, mycket svaga. Utskottet besvarar motionärernas yrkande i samband med ett svar på en av herr Lindley i första kammaren väckt motion berörande helt andra förhållanden än höjning av åldersgränsen.</w:t>
        <w:br/>
        <w:br/>
        <w:t>Utskottet säger i sitt svar: »Även om de ändringar i beloppen och den höjning av åldersgränsen, som av motionärerna påyr-</w:t>
        <w:br/>
        <w:br/>
        <w:t>kats, i och för sig vore önskvärd, skulle desamma dock komma att Ang. lag om medföra en så väsentlig ökning av försäkringspremierna, att utms skottet för sin del anser sig böra avstyrka bifall därtill.» I fråga arbde im. Mm. om det berättigade eller icke berättigade av en höjning av ålders- (Forts.) gränsen säger utskottet således varken ja eller nej. Men även</w:t>
        <w:br/>
        <w:br/>
        <w:t>om det vore berättigat, vill icke utskottet vara med därom —</w:t>
        <w:br/>
        <w:br/>
        <w:t>om jag fattat rätt — då det enligt utskottets uppfattning stäl-</w:t>
        <w:br/>
        <w:br/>
        <w:t>Ett sådant resonemang som utskottet här för, har jag för min del mycket svårt att fatta. Ett faktum är, att de allra flesta barn äro oförmögna att försörja sig själva vid en så tidig ålder som femton år, en ålder då de nyss sluppit ur skolan, och således blott en mycket kort tid kunnat deltaga i förvärvsarbetet. Det kan ju möjligen gå i vissa fall, då barnen få plats ute på landet hos jordbrukare eller på dylika platser; där kan det finnas möjlighet för ett och annat barn att försörja sig redan vid denna tidiga ålder. Men det går icke för barn, som ha sin sysselsättning i städerna, det går icke för barn, som sysselsättas inom industri och dylik rörelse.</w:t>
        <w:br/>
        <w:br/>
        <w:t xml:space="preserve">Ha vi rätt att fordra så mycket mer av lönearbetarklassens barn än av andra samhällslagers barn? Nej, det finnes så långt jag minnes icke någon samhällsgrupp, där man ordnat med </w:t>
      </w:r>
      <w:r>
        <w:rPr>
          <w:b/>
        </w:rPr>
        <w:t>änkeoch²</w:t>
      </w:r>
      <w:r>
        <w:rPr>
          <w:b w:val="0"/>
        </w:rPr>
        <w:t xml:space="preserve"> pupillkassor och sagt, att livräntan till barnen skall upphöra redan vid femton års ålder. Det fanns en tid intill 1901, då </w:t>
      </w:r>
      <w:r>
        <w:rPr>
          <w:b/>
        </w:rPr>
        <w:t>änkeoch²</w:t>
      </w:r>
      <w:r>
        <w:rPr>
          <w:b w:val="0"/>
        </w:rPr>
        <w:t xml:space="preserve"> pupillkasssan för en stor kår, folkskollärarkåren, stadgade 16-årsgränsen. Men detta år, 1901, föreslog Kungl. Maj:t i proposition till riksdagen, att pension efter avliden folkskollärare skulle utgå till hans barn intill dess barnet fyllt 21 år. Till svar på denna proposition sade då riksdagen, att den funne 16-årsgränsen väl låg, men då en höjning skulle innebära en rubbning av kassans ekonomiska ställning, ansågs försiktigheten bjuda, att man stannade vid 18 år. Detta blev också riksdagens beslut.</w:t>
        <w:br/>
        <w:br/>
        <w:t xml:space="preserve">En sådan åldersgräns, 18 år, lär också vara stadgad för åtnjutande av motsvarande pension från telegrafverkets </w:t>
      </w:r>
      <w:r>
        <w:rPr>
          <w:b/>
        </w:rPr>
        <w:t>änkeoch²</w:t>
      </w:r>
      <w:r>
        <w:rPr>
          <w:b w:val="0"/>
        </w:rPr>
        <w:t xml:space="preserve"> pupillkassa samt från statens järnvägstrafiks </w:t>
      </w:r>
      <w:r>
        <w:rPr>
          <w:b/>
        </w:rPr>
        <w:t>änkeoch²</w:t>
      </w:r>
      <w:r>
        <w:rPr>
          <w:b w:val="0"/>
        </w:rPr>
        <w:t xml:space="preserve"> pupillkassa och har jämväl plägat bestämmas för åtnjutande av pensioner, som i särskilda fall av riksdagen beviljats till löntagares efterlevande barn.</w:t>
        <w:br/>
        <w:br/>
        <w:t xml:space="preserve">I civilstatens </w:t>
      </w:r>
      <w:r>
        <w:rPr>
          <w:b/>
        </w:rPr>
        <w:t>änkeoch²</w:t>
      </w:r>
      <w:r>
        <w:rPr>
          <w:b w:val="0"/>
        </w:rPr>
        <w:t xml:space="preserve"> pupillkassa upphör pensionsrätten för son vid fyllda 21 år och för </w:t>
      </w:r>
      <w:r>
        <w:rPr>
          <w:b/>
        </w:rPr>
        <w:t>dotter²</w:t>
      </w:r>
      <w:r>
        <w:rPr>
          <w:b w:val="0"/>
        </w:rPr>
        <w:t xml:space="preserve"> vid 25 år. I elementarlärarnas </w:t>
      </w:r>
      <w:r>
        <w:rPr>
          <w:b/>
        </w:rPr>
        <w:t>änkeoch²</w:t>
      </w:r>
      <w:r>
        <w:rPr>
          <w:b w:val="0"/>
        </w:rPr>
        <w:t xml:space="preserve"> pupillkassa upphör rätten till pension för båda könen vid fyllda 21 år, och hos föreningen till understöd för änkor och oförsörjda barn efter häradshövdingar, landssekreterare och landskamrerare utbetalar man pensioner till </w:t>
      </w:r>
      <w:r>
        <w:rPr>
          <w:b/>
        </w:rPr>
        <w:t>dotter²</w:t>
      </w:r>
      <w:r>
        <w:rPr>
          <w:b w:val="0"/>
        </w:rPr>
        <w:t xml:space="preserve"> så länge </w:t>
      </w:r>
      <w:r>
        <w:rPr>
          <w:b/>
        </w:rPr>
        <w:t>hon²</w:t>
      </w:r>
      <w:r>
        <w:rPr>
          <w:b w:val="0"/>
        </w:rPr>
        <w:t xml:space="preserve"> lever ogift och till son till 21 år. I prästerskapets </w:t>
      </w:r>
      <w:r>
        <w:rPr>
          <w:b/>
        </w:rPr>
        <w:t>änkeoch²</w:t>
      </w:r>
      <w:r>
        <w:rPr>
          <w:b w:val="0"/>
        </w:rPr>
        <w:t xml:space="preserve"> pupillkassa, i arméns nya </w:t>
      </w:r>
      <w:r>
        <w:rPr>
          <w:b/>
        </w:rPr>
        <w:t>änkeoch²</w:t>
      </w:r>
      <w:r>
        <w:rPr>
          <w:b w:val="0"/>
        </w:rPr>
        <w:t xml:space="preserve"> pupillkassa samt i </w:t>
      </w:r>
      <w:r>
        <w:rPr>
          <w:b/>
        </w:rPr>
        <w:t>änkeoch²</w:t>
      </w:r>
      <w:r>
        <w:rPr>
          <w:b w:val="0"/>
        </w:rPr>
        <w:t xml:space="preserve"> pupillkassan vid Stockholms stads ämbetsverk är pensionen för söner och ogifta </w:t>
      </w:r>
      <w:r>
        <w:rPr>
          <w:b/>
        </w:rPr>
        <w:t>döttrar²</w:t>
      </w:r>
      <w:r>
        <w:rPr>
          <w:b w:val="0"/>
        </w:rPr>
        <w:t xml:space="preserve"> begränsad till 21 år.</w:t>
        <w:br/>
        <w:br/>
        <w:t>Jag har velat draga fram dessa reglementen för att något</w:t>
        <w:br/>
        <w:br/>
        <w:t>försäkring för viga huru det är ordnat här i samhället för skilda grupper. Huru</w:t>
        <w:br/>
        <w:br/>
        <w:t>olika, när man jämför dessa grupper, som jag nu nämnt, med lönearbetargruppen!</w:t>
        <w:br/>
        <w:br/>
        <w:t>Vi stå nu här i dag vid behandlingen av denna viktiga lag, och om den nu skulle leda till ett positivt resultat, är det väl troligt, att denna lag kommer att gälla en lång tid framåt. Icke kan det väl då vara riktigt, att, när vi i denna lag skola bestämma en livränta för barnen, bestämma denna så, att den för arbetarklassens barn upphör redan vid 15 år, då man för de allra flesta andra samhällsgrupper har bestämt en betydligt högre ålder vid ordnande av förhållandena med livränta och pension åt dessa andra grupper. Men nu är det ju många som anse, att arbetarklassens barn icke ha samma rätt som andra samhällsgruppers barn här i landet. Ja, säger kanske någon, de andra samhällsgruppernas barn, de behöva icke gå ut i förvärvsarbetet så tidigt utan få stanna kvar ännu länge i skolorna. Och vad skolorna beträffar anser många, att folkskolan blir tillräcklig för arbetarklassens barn; de kunna åtnöja sig med denna, ofta en mycket bristfällig sådan. Och så bli dessa barn genast efter det de inhämtat minimikurserna kastade ut i förvärvsarbetet i samma utsträckning som vuxna.</w:t>
        <w:br/>
        <w:br/>
        <w:t>Vi ha dock ett kommittéförslag rörande yrkes-, ungdomsoch och fortsättningsskolor, och som vägröjare för dessa fortsättningsskolor har ju riksdagen för några dagar sedan antagit en kungl. proposition om något friare former för dessa fortsättningsskolor. Det är möjligt således, att det även för dessa gruppers barn, om vilka jag här talat, möjlighet kan yppa sig till en utväg att få en påbyggnad till folkskolan, en bättre skola än de f.n. ha. Men då böra vi också se till, när vi skriva denna lag, att vi ha ögonen öppna, så att vi icke ställa det omöjligt för dessa barn att komma till sådana skolor på grund av mer eller mindre föråldrade bestämmelser beträffande dessa livräntor och pensioner.</w:t>
        <w:br/>
        <w:br/>
        <w:t>När det säges, att det blir för dyrt att höja åldersgränsen till 18 år, så vill jag inför det faktum att det stora flertalet barn icke kan försörja sig vid 15 års ålder fråga: Vem skall då underhålla dem? Jo, samhället. Vart skall ett barn vända sig när det mist sin far, sitt stöd, familjens försörjare? Det är icke riktigt att säga, att detta, hur behjärtansvärt det än är, icke går att genomföra, därför att premierna skulle bli för höga.</w:t>
        <w:br/>
        <w:br/>
        <w:t>Åv dem som yttrat sig över kommitténs förslag, då det varit ute på remiss, ha också på vissa platser gjorts samma erinringar som jag nu framfört. Således har Malmö arbetarekommun liksom styrelsen för svenska träarbetareförbundet uttalat sig för högre åldersgräns. Likaså anser direktionen för sjömanshuset i Malmö skäl föreligga att upptaga denna sak till prövning.</w:t>
        <w:br/>
        <w:br/>
        <w:t>I vissa utländska lagar har man också, såvitt jag funnit,</w:t>
        <w:br/>
        <w:br/>
        <w:t>land och Schweiz en högre åldersgräns än utskottet föreslagit. LERA Ja, herr talman, jag har vid behandlingen av denna paragraf, arbole om.</w:t>
        <w:br/>
        <w:br/>
        <w:t>icke kunnat annat än fästa uppmärksamheten på en oegentlig- — (Forts.</w:t>
        <w:br/>
        <w:br/>
        <w:t>het, som jag ansett föreligga här. Jag förstår alltför väl, att ”</w:t>
        <w:br/>
        <w:br/>
        <w:t>även om jag framställer ett yrkande om ändring, så har det icke</w:t>
        <w:br/>
        <w:br/>
        <w:t>stor utsikt att vinna riksdagens bifall, men då jag anser, att ett</w:t>
        <w:br/>
        <w:br/>
        <w:t>yrkande likväl bör framställas, och att det möjligen har utsikt</w:t>
        <w:br/>
        <w:br/>
        <w:t>att gå igenom i andra kammaren, skall jag ändock framställa</w:t>
        <w:br/>
        <w:br/>
        <w:t>ett sådant. Jag ber således få yrka bifall till utskottets hem-</w:t>
        <w:br/>
        <w:br/>
        <w:t>ställan med den ändringen, att i punkten b) där det heter: »till</w:t>
        <w:br/>
        <w:br/>
        <w:t>måtte ändras till »aderton års ålder». Detta mitt yrkande står</w:t>
        <w:br/>
        <w:br/>
        <w:t>i överensstämmelse med den motion, som är väckt av herr Eriks-</w:t>
        <w:br/>
        <w:br/>
        <w:t>bestämt en högre åldersgräns än 15 år; sålunda har man i Hol- Ang. lag 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