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262</w:t>
      </w:r>
    </w:p>
    <w:p>
      <w:r>
        <w:rPr>
          <w:b/>
        </w:rPr>
        <w:t xml:space="preserve">Datum: </w:t>
      </w:r>
      <w:r>
        <w:t>1917-04-14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von Geijer (–, man)</w:t>
      </w:r>
    </w:p>
    <w:p>
      <w:r>
        <w:rPr>
          <w:b w:val="0"/>
        </w:rPr>
        <w:t>Herr talman! Även vid denna punkt ber = rösträtt.</w:t>
        <w:br/>
        <w:br/>
        <w:t>jag få framställa enahanda yrkande som i punkten 5, eller alltså att herr Källmans motion måtte avslås.</w:t>
        <w:br/>
        <w:br/>
        <w:t xml:space="preserve">»Det i herr Halléns motion framställda förslaget, att </w:t>
      </w:r>
      <w:r>
        <w:rPr>
          <w:b/>
        </w:rPr>
        <w:t>kvinna¹</w:t>
      </w:r>
      <w:r>
        <w:rPr>
          <w:b w:val="0"/>
        </w:rPr>
        <w:t xml:space="preserve"> skulle bliva valbar till landstinget, finna vi ej vara av något behov påkallat och hava därför yrkat, att utskottet skulle avstyrka motionen.»</w:t>
      </w:r>
    </w:p>
    <w:p>
      <w:pPr>
        <w:pStyle w:val="Heading2"/>
      </w:pPr>
      <w:r>
        <w:t>2. Knut von Geijer (–, man)</w:t>
      </w:r>
    </w:p>
    <w:p>
      <w:r>
        <w:rPr>
          <w:b w:val="0"/>
        </w:rPr>
        <w:t>Jag ber att få yrka avslag å förevarande punkt.</w:t>
      </w:r>
    </w:p>
    <w:p>
      <w:pPr>
        <w:pStyle w:val="Heading2"/>
      </w:pPr>
      <w:r>
        <w:t>3. Mauritz Hellberg (Liberala riksdagspartiet, man)</w:t>
      </w:r>
    </w:p>
    <w:p>
      <w:r>
        <w:rPr>
          <w:b w:val="0"/>
        </w:rPr>
        <w:t>Reservanterna ha mot utskottets hemställan i denna punkt anfört det mycket talande skälet, att de -:inte anse det som där föreslås »vara av något behov påkallat».</w:t>
        <w:br/>
        <w:br/>
        <w:t xml:space="preserve">Nu är det förtroendeuppdrag varom här är fråga det enda som utgör undantag från </w:t>
      </w:r>
      <w:r>
        <w:rPr>
          <w:b/>
        </w:rPr>
        <w:t>kvinnornas¹</w:t>
      </w:r>
      <w:r>
        <w:rPr>
          <w:b w:val="0"/>
        </w:rPr>
        <w:t xml:space="preserve"> kommunala valbarhet. Till alla andra kommunala uppdrag äro de valbara, endast inte till detta. Jag finner intet rimligt skäl, varför de fortfarande skulle</w:t>
        <w:br/>
        <w:br/>
        <w:t xml:space="preserve">vara uteslutna från valbarhet endast i detta fall. Det skulle möjråge ligtvis kunna sägas vara därför, att landstingen välja ledamöter i vinna KA första kammaren, och att för den skull den påyrkade reformen ledamot av skulle kunna anses vara ett första steg på vägen till </w:t>
      </w:r>
      <w:r>
        <w:rPr>
          <w:b/>
        </w:rPr>
        <w:t>kvinnornas¹</w:t>
      </w:r>
      <w:r>
        <w:rPr>
          <w:b w:val="0"/>
        </w:rPr>
        <w:t xml:space="preserve"> «landsting. politiska rösträtt. Men de äro ju redan med bland urväljarna till = (Forts) denna kammare, 1 och med det de hava valrätt till landstingen, och vidare ha de omedelbar valrätt till första kammaren genom sin rätt till medlemskap i stadsfullmäktigekårerna i de största städerna. Därför är det rakt obegripligt, varför speciellt detta undantag skall göras. Utskottet har som sagt icke haft något annat skäl att anföra än det mycket karakteristiska att det icke finner av något behov påkallat, att </w:t>
      </w:r>
      <w:r>
        <w:rPr>
          <w:b/>
        </w:rPr>
        <w:t>kvinnorna¹</w:t>
      </w:r>
      <w:r>
        <w:rPr>
          <w:b w:val="0"/>
        </w:rPr>
        <w:t xml:space="preserve"> bliva valbara till ledamöter av landstingen. Men är det då mera av behovet påkallat, att de äro valbara till andra kommunala uppdrag? Landstingen hava ju företrädesvis att syssla med sjukvårdsfrågor, som böra kunna bedömas av </w:t>
      </w:r>
      <w:r>
        <w:rPr>
          <w:b/>
        </w:rPr>
        <w:t>kvinnor¹</w:t>
      </w:r>
      <w:r>
        <w:rPr>
          <w:b w:val="0"/>
        </w:rPr>
        <w:t xml:space="preserve"> lika väl som av män, vidare uppfostringsfrågor, undervisningsfrågor och andra som likaledes </w:t>
      </w:r>
      <w:r>
        <w:rPr>
          <w:b/>
        </w:rPr>
        <w:t>kvinnorna¹</w:t>
      </w:r>
      <w:r>
        <w:rPr>
          <w:b w:val="0"/>
        </w:rPr>
        <w:t xml:space="preserve"> böra vara väl skickade att behandla. Då jag således icke kan finna några hållbara skäl för detta undantag, som reservanterna hävdat, — utom naturligtvis det skäl, som alltid är avgörande: att den starkare icke vill, ber jag för min del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