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269</w:t>
      </w:r>
    </w:p>
    <w:p>
      <w:r>
        <w:rPr>
          <w:b/>
        </w:rPr>
        <w:t xml:space="preserve">Datum: </w:t>
      </w:r>
      <w:r>
        <w:t>1917-04-23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val="0"/>
        </w:rPr>
        <w:t>Motionären har yrkat, »att riksdagen behagade i skrivelse till Kungl. Maj:t anhålla, att Kungl. Maj:t ville utreda, huruvida genom en ändring av bestämmelserna uti 18 kap. 13 $ 2 mom. strafflagen försäljningen av s. k. preventiva medel må ytterligare inskränkas utöver de former, varunder densamma nu faktiskt äger rum, samt i sammanhang därmed, huru en förtäckt annonsering må förhindras, ävensom för riksdagen framlägga det förslag, vartill utredningen kan föranleda».</w:t>
        <w:br/>
        <w:br/>
        <w:t>Om man nu också får lämna å sido frågan om den förtäckta annonseringen, som det ju kan vara svårt att komma åt, är det dock uppenbart, att man kan meddela bestämmelser, som förbjuda den ifrågavarande försäljningen. Frågan härom var före redan vid preventivlagens tillkomst. Det anmärktes redan då, att lagen, på det sätt den blev inskränkt, icke skulle bli tillräckligt effektiv. Åtskilliga av svårigheterna att tekniskt avfatta hithörande lagbestämmelser varöver man då klagade, bero just därpå, att man tillåter försäljning delvis i stället för att helt förbjuda sådan. Dessa medel få icke offentligen utbjudas til salu, men likväl få de obehindrat säljas i viss utsträckning. Motionären påpekar med rätta, att detta är en inkonsekvens, en lucka i lagstiftningen, som bör fyllas. Han meddelar på grund av sin erfarenhet, att dessa medel säljas i synnerligen stor skala, och utskottet har icke kunnat bestrida detta. Utskottet säger tvärtom, att utskottet »är ense med motionären därom, att, såvitt utskottet har sig bekant, berörda lagbestämmelser icke mäktat åstadkomma den begränsning av preventiva medels användning, som med lagstiftningen avsågs.» Alla äro vi ju ense om att det är en betydande samhällsfara, som hotar genom en vidsträckt användning av dessa medel. Utskottet vill emellertid inskränka sig till att få användningen av dem begränsad allenast på andra vägar än lagstiftningens. Det är dock ganska tvivelaktigt, om detta skall kunna lyckas, när man icke har mod att i lagstiftningen helt och hållet förbjuda försäljningen, därvid man dock skulle kunna i de fall, då enligt läkares föreskrift ett bruk nödvändigt måste ske, inskränka försäljningen till apoteken och endast tillåta den efter läkares ordination.</w:t>
        <w:br/>
        <w:br/>
        <w:t>Det är, ju längre det går, desto mer angeläget, att denna trafik inskränkes, och detta icke minst med hänsyn till de nya lagar på familjerättens område, som antagits 1915 och i år. Må vi tänka på vad den nya lagen om äktenskaps ingående och upplösning innehåller 1 vissa hänseenden. Vi finna där, att. en man, om han bryter sin tro-</w:t>
        <w:br/>
        <w:br/>
        <w:t>är rådd med barn. Just detta moment, som ligger till grund för skadeståndsyrkandet, kan det vara ett intresse att förhindra genom be-</w:t>
        <w:br/>
        <w:br/>
        <w:t>gagnande av nu ifrågavarande medel. Samma tendens kan upp-</w:t>
        <w:br/>
        <w:br/>
        <w:t xml:space="preserve">muntras av de lagar, som antogos härom dagen om oäkta barns ställning och </w:t>
      </w:r>
      <w:r>
        <w:rPr>
          <w:b/>
        </w:rPr>
        <w:t>kvinnans¹</w:t>
      </w:r>
      <w:r>
        <w:rPr>
          <w:b w:val="0"/>
        </w:rPr>
        <w:t xml:space="preserve"> rätt i sådana fall. Där är det ju så, att mannens ansvar blivit betydligt skärpt, och likaså medlen att utkräva detta ansvar, d. v. s. att utkräva underhållsskyldighet o. s. v. Däri ligger naturligtvis en ytterligare sporre att försöka undandraga sig anledningen till detta ansvar, till denna underhållsskyldighet, som nu på ett kraftigare sätt än förut kan göras gällande. Och vad </w:t>
      </w:r>
      <w:r>
        <w:rPr>
          <w:b/>
        </w:rPr>
        <w:t>kvinnan¹</w:t>
      </w:r>
      <w:r>
        <w:rPr>
          <w:b w:val="0"/>
        </w:rPr>
        <w:t xml:space="preserve"> beträffar, så torde de nya bestämmelserna om barnavårdsmans ingripande för </w:t>
      </w:r>
      <w:r>
        <w:rPr>
          <w:b/>
        </w:rPr>
        <w:t>kvinnan¹</w:t>
      </w:r>
      <w:r>
        <w:rPr>
          <w:b w:val="0"/>
        </w:rPr>
        <w:t xml:space="preserve"> te sig som något brutalt och motbjudande i många fall, och sålunda också för </w:t>
      </w:r>
      <w:r>
        <w:rPr>
          <w:b/>
        </w:rPr>
        <w:t>hennes²</w:t>
      </w:r>
      <w:r>
        <w:rPr>
          <w:b w:val="0"/>
        </w:rPr>
        <w:t xml:space="preserve"> del göra det önskvärt, att någon anledning till sådant ingripande icke behöver ifrågakomma.</w:t>
        <w:br/>
        <w:br/>
        <w:t>Dessa omständigheter i förening med den allmänna sänkningen av den sedliga nivån som vi alla kunna bevittna, göra, att man kan förmoda, att ifrågavarande medel, vilkas begagnande tydligtvis alldeles icke minskats, tvärtom nu komma att ytterligare anlitas, och det är således ännu mer angeläget än förr, att man försöker att sätta en hämsko för detta, som alla erkänna vara en stor samhällsfara.</w:t>
        <w:br/>
        <w:br/>
        <w:t>Med anledning härav kan jag. herr talman, icke underlåta att, när frågan kommit upp, yrka bifall till motionen.</w:t>
      </w:r>
    </w:p>
    <w:p>
      <w:pPr>
        <w:pStyle w:val="Heading2"/>
      </w:pPr>
      <w:r>
        <w:t>2. Nils Alexanderson (Liberala samlingspartiet, man)</w:t>
      </w:r>
    </w:p>
    <w:p>
      <w:r>
        <w:rPr>
          <w:b w:val="0"/>
        </w:rPr>
        <w:t>Den föregående ärade talaren erinrade, att år 1910, då nuvarande lagstiftningen på förevarande område infördes, den anmärkningen gjordes, att densamma icke skulle bliva effektiv, samt höll före, att från den utgångspunkten och då det nämnda antagandet blivit bekräftat av verkligheten, det vore na-</w:t>
        <w:br/>
        <w:br/>
        <w:t>turligt, att man toge ett steg till.</w:t>
        <w:br/>
        <w:br/>
        <w:t>Men från vilken sida var det egentligen, som denna anmärkning gjordes? Icke från lagförslagets försvarares sida, utan från dess bekämpares sida. Och varför? Jo, tydligen därför, att ingen fann det ens tänkbart, att man skulle kunna gå så långt, som motionären och nu den föregående ärade talaren ifrågasatt. Den för dem bägge gemensamma förutsättningen var således, att man just icke gärna kunde gå längre, än som föreslagits, och då frågades det, om detta verkligen vore effektivt, och man gjorde gällande, att så icke vore förhållandet. Från andra sidan svarades väsentligen detta: Ja, men i alla fall kommer man här att få bort de mest anstötliga och de mest förförande företeelserna, dessa offentliga agitationsföredrag, denna smitta av en speciell agitation av ett mycket litet tilltalande slag, som för närvarande gör sin rond, särskilt bland arbetarkretsar i vårt land, och på den motiveringen var det, som lagstiftningen också antogs. Men att man skulle kunna gå så långt, som motionären föreslagit, var icke på något håll, så vitt jag kan erinra mig, ansett som gärna möjligt, och denna ståndpunkt lära vi alltjämt få fasthålla.</w:t>
        <w:br/>
        <w:br/>
        <w:t>Den föregående talaren gjorde i likhet med motionären gällande.</w:t>
        <w:br/>
        <w:br/>
        <w:t xml:space="preserve">att man kan låta saken begränsas så, att om en läkare av hygieniska 0» ytterligare skäl föreskriver, att preventiver böra få användas, man skulle få köpa inskränkning : sådana på apotek. I anledning därav erinrar jag om att under riks- Höordelen dagens behandling av frågan år 1910 det ingavs en inlaga av icke medel m. m. mindre än 66 praktiserande stockholmsläkare, däribland ett stort an- (Forts.) tal av våra främsta specialister på könssjukdomarnas och underlivssjukdomarnas område, vilka alla motsatte sig antagandet av den då föreslagna lagstiftningen och det med den motiveringen, att den skulle komma att lägga utomordentliga hinder i vägen för bibringandet av en allmännare insikt därom, att det är vars och ens skyldighet, som utsätter sig för risken av venerisk infektion, att för sin egen, för blivande </w:t>
      </w:r>
      <w:r>
        <w:rPr>
          <w:b/>
        </w:rPr>
        <w:t>hustrus²</w:t>
      </w:r>
      <w:r>
        <w:rPr>
          <w:b w:val="0"/>
        </w:rPr>
        <w:t xml:space="preserve"> och barns skull på det mest effektiva sätt skydda sig mot densamma. Dessa läkare gjorde nämligen på samma gång gällande, att vissa av dessa preventiva medel hade den största betydelse som skydd mot vissa veneriska sjukdomar. Om detta är en så allmänt utbredd uppfattning inom läkarkretsar, är det onekligen ett egendomligt steg lagstiftningen skulle taga, om den skulle säga, att dessa medels tillåtlighet skall göras beroende av huruvida en läkare i det enskilda fallet skulle anse det tillrådligt eller icke. En sak är nämligen, att den ena eller andra skulle gå till en läkare för att få ett recept på preventiva medel till apotek. Det har tydligen egentligen från deras sida, som föreslagit detta, tänkts på det fall, att det kunde uppstå fara för makans liv eller hälsa genom konception inom äktenskapet, men det har mindre tänkts på den praktiska synpunkten av skydd för venerisk smitta, som kunde komma i fråga. Men denna synpunkt skulle tydligen komma att i praktiken spela en stor roll och göra, att lagstiftningen finge ett mycket egendomligt drag över sig, då den befunne sig i motsättning mot en så allmän opinion från de fackbildades sida. Jag har endast velat nämna detta i anledning av det inlägg, som nyss gjordes av den siste ärade talaren, och 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269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