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276</w:t>
      </w:r>
    </w:p>
    <w:p>
      <w:r>
        <w:rPr>
          <w:b/>
        </w:rPr>
        <w:t xml:space="preserve">Datum: </w:t>
      </w:r>
      <w:r>
        <w:t>1917-05-31</w:t>
      </w:r>
    </w:p>
    <w:p>
      <w:r>
        <w:rPr>
          <w:b/>
        </w:rPr>
        <w:t xml:space="preserve">Kammare: </w:t>
      </w:r>
      <w:r>
        <w:t>Första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Carl Gustaf Wickman (Socialdemokraterna, man)</w:t>
      </w:r>
    </w:p>
    <w:p>
      <w:r>
        <w:rPr>
          <w:b w:val="0"/>
        </w:rPr>
        <w:t>Jag har tillika med åtskilliga kamrater inom bankoutskottet funnit nödvändigt att reservera mig vid denna första punkt, som avser Kungl. Maj:ts förslag om understöd åt maskinisten B. E. T. Svenssons i Boden fyra minderåriga barn.</w:t>
        <w:br/>
        <w:br/>
        <w:t xml:space="preserve">I Kungl. Maj:ts proposition har framhållits behovet av understöd 1 detta fall till Svenssons fyra minderåriga barn. I den framställning, som gjorts av arméförvaltningens fortifikationsdepartement, har jämväl framhållts behovet av en pension till de fyra minderåriga barnen till ett belopp av 150 kr. för vart och ett av dem. Varken i Kungl. Maj:ts proposition eller från fortifikationsdepartementet har emellertid någon framställning gjorts i fråga om </w:t>
      </w:r>
      <w:r>
        <w:rPr>
          <w:b/>
        </w:rPr>
        <w:t>änkepension²</w:t>
      </w:r>
      <w:r>
        <w:rPr>
          <w:b w:val="0"/>
        </w:rPr>
        <w:t xml:space="preserve">. Av den anledningen har uti en motion av herr Vahlquist i andra kammaren framhållits behovet av sådan </w:t>
      </w:r>
      <w:r>
        <w:rPr>
          <w:b/>
        </w:rPr>
        <w:t>änkepension²</w:t>
      </w:r>
      <w:r>
        <w:rPr>
          <w:b w:val="0"/>
        </w:rPr>
        <w:t xml:space="preserve">. I alla fall, då dylika pensioner satts i fråga, har man även ansett, att den efterlevande </w:t>
      </w:r>
      <w:r>
        <w:rPr>
          <w:b/>
        </w:rPr>
        <w:t>änkan²</w:t>
      </w:r>
      <w:r>
        <w:rPr>
          <w:b w:val="0"/>
        </w:rPr>
        <w:t xml:space="preserve"> borde beredas något understöd av statsmedel. Nu är det ju visserligen sant, att maskinisten Svensson varit anställd så kort tid som maskinist i Boden, att någon egentlig pension icke ansågs böra ifrågakomma, och samtidigt har man fäst sig vid den relativa ungdom, vari </w:t>
      </w:r>
      <w:r>
        <w:rPr>
          <w:b/>
        </w:rPr>
        <w:t>änkan²</w:t>
      </w:r>
      <w:r>
        <w:rPr>
          <w:b w:val="0"/>
        </w:rPr>
        <w:t xml:space="preserve"> vid hans frånfälle befinner sig. </w:t>
      </w:r>
      <w:r>
        <w:rPr>
          <w:b/>
        </w:rPr>
        <w:t>Hon²</w:t>
      </w:r>
      <w:r>
        <w:rPr>
          <w:b w:val="0"/>
        </w:rPr>
        <w:t xml:space="preserve"> är endast 32 år gammal. Att märka är emellertid, att </w:t>
      </w:r>
      <w:r>
        <w:rPr>
          <w:b/>
        </w:rPr>
        <w:t>hennes²</w:t>
      </w:r>
      <w:r>
        <w:rPr>
          <w:b w:val="0"/>
        </w:rPr>
        <w:t xml:space="preserve"> sista barn föddes 1915, och </w:t>
      </w:r>
      <w:r>
        <w:rPr>
          <w:b/>
        </w:rPr>
        <w:t>hon²</w:t>
      </w:r>
      <w:r>
        <w:rPr>
          <w:b w:val="0"/>
        </w:rPr>
        <w:t xml:space="preserve"> är ju i fattiga omständigheter, vadan </w:t>
      </w:r>
      <w:r>
        <w:rPr>
          <w:b/>
        </w:rPr>
        <w:t>hon²</w:t>
      </w:r>
      <w:r>
        <w:rPr>
          <w:b w:val="0"/>
        </w:rPr>
        <w:t xml:space="preserve"> har behov av uppfostringsbidrag åt sina fyra minderåriga barn. Men även </w:t>
      </w:r>
      <w:r>
        <w:rPr>
          <w:b/>
        </w:rPr>
        <w:t>änkan²</w:t>
      </w:r>
      <w:r>
        <w:rPr>
          <w:b w:val="0"/>
        </w:rPr>
        <w:t xml:space="preserve"> borde hava något bidrag till sitt uppehälle under de år, då </w:t>
      </w:r>
      <w:r>
        <w:rPr>
          <w:b/>
        </w:rPr>
        <w:t>hon²</w:t>
      </w:r>
      <w:r>
        <w:rPr>
          <w:b w:val="0"/>
        </w:rPr>
        <w:t xml:space="preserve"> har skyldighet att uppfostra barnen. Räknar man sålunda med, att barnen kräva underhåll, tills det yngsta barnet når upp till 15 års ålder — Kungl. Maj:t har till och med föreslagit och utskottet har bifallit understöd, tills barnen nått en ålder " av 18 år — är </w:t>
      </w:r>
      <w:r>
        <w:rPr>
          <w:b/>
        </w:rPr>
        <w:t>änkan²</w:t>
      </w:r>
      <w:r>
        <w:rPr>
          <w:b w:val="0"/>
        </w:rPr>
        <w:t xml:space="preserve"> redan 47 år gammal, när allt understöd till barnen upphört, och det är klart, att </w:t>
      </w:r>
      <w:r>
        <w:rPr>
          <w:b/>
        </w:rPr>
        <w:t>hon²</w:t>
      </w:r>
      <w:r>
        <w:rPr>
          <w:b w:val="0"/>
        </w:rPr>
        <w:t xml:space="preserve"> då är i den ålder, att </w:t>
      </w:r>
      <w:r>
        <w:rPr>
          <w:b/>
        </w:rPr>
        <w:t>hon²</w:t>
      </w:r>
      <w:r>
        <w:rPr>
          <w:b w:val="0"/>
        </w:rPr>
        <w:t xml:space="preserve"> skulle kunna erhålla understöd för egen del. Men om </w:t>
      </w:r>
      <w:r>
        <w:rPr>
          <w:b/>
        </w:rPr>
        <w:t>hon²</w:t>
      </w:r>
      <w:r>
        <w:rPr>
          <w:b w:val="0"/>
        </w:rPr>
        <w:t xml:space="preserve"> icke nu erhåller något dylikt, kommer detta att bereda svårigheter för </w:t>
      </w:r>
      <w:r>
        <w:rPr>
          <w:b/>
        </w:rPr>
        <w:t>henne²</w:t>
      </w:r>
      <w:r>
        <w:rPr>
          <w:b w:val="0"/>
        </w:rPr>
        <w:t xml:space="preserve"> att reda</w:t>
        <w:br/>
        <w:br/>
        <w:t xml:space="preserve">sig, och då barnen nått 18 år, mister </w:t>
      </w:r>
      <w:r>
        <w:rPr>
          <w:b/>
        </w:rPr>
        <w:t>hon²</w:t>
      </w:r>
      <w:r>
        <w:rPr>
          <w:b w:val="0"/>
        </w:rPr>
        <w:t xml:space="preserve"> ju de understöd, som </w:t>
      </w:r>
      <w:r>
        <w:rPr>
          <w:b/>
        </w:rPr>
        <w:t>hon²</w:t>
      </w:r>
      <w:r>
        <w:rPr>
          <w:b w:val="0"/>
        </w:rPr>
        <w:t xml:space="preserve"> haft åt barnen.</w:t>
        <w:br/>
        <w:br/>
        <w:t xml:space="preserve">Det är dessa synpunkter, vi reservanter ansett nödvändigt att tillgodose, och vi hava därför yrkat, att även </w:t>
      </w:r>
      <w:r>
        <w:rPr>
          <w:b/>
        </w:rPr>
        <w:t>änkan²</w:t>
      </w:r>
      <w:r>
        <w:rPr>
          <w:b w:val="0"/>
        </w:rPr>
        <w:t xml:space="preserve"> borde få något understöd. Motionären har i sitt förslag hemställt, att 100 kronor borde beviljas för vart och ett av barnen samt 300 kronor för </w:t>
      </w:r>
      <w:r>
        <w:rPr>
          <w:b/>
        </w:rPr>
        <w:t>änkan²</w:t>
      </w:r>
      <w:r>
        <w:rPr>
          <w:b w:val="0"/>
        </w:rPr>
        <w:t xml:space="preserve">. Kungl Maj:t har hemställt om allenast 100 kronor för vart och ett av barnen, och bankoutskottet har i likhet med arméförvaltningens fortifikationsdepartement föreslagit 150 kronor för vart och ett av dessa. Om man då sammanställer kostnaden för det hela, skulle enligt utskottets förslag, som är analogt med fortifikationsdepartementets förslag, totalkostnaden bliva 600 kronor, medan enligt motionärens och reservanternas förslag — med 100 kronor åt varje barn och 300 kronor åt </w:t>
      </w:r>
      <w:r>
        <w:rPr>
          <w:b/>
        </w:rPr>
        <w:t>änkan²</w:t>
      </w:r>
      <w:r>
        <w:rPr>
          <w:b w:val="0"/>
        </w:rPr>
        <w:t xml:space="preserve"> — hela kostnaden skulle utgöra 700 kronor. Det gäller sålunda en merkostnad av endast 100 kronor.</w:t>
        <w:br/>
        <w:br/>
        <w:t xml:space="preserve">Då jag erfar, att andra kammaren med övervö'digande majoritet antagit reservationen, vill jag vädja till första tammaren att i detta fall gå samma väg, som vi tidigare vanligen gått, då vi ansett, att även </w:t>
      </w:r>
      <w:r>
        <w:rPr>
          <w:b/>
        </w:rPr>
        <w:t>änkan²</w:t>
      </w:r>
      <w:r>
        <w:rPr>
          <w:b w:val="0"/>
        </w:rPr>
        <w:t xml:space="preserve"> bör ha något understöd under sin återstående livstid.</w:t>
        <w:br/>
        <w:br/>
        <w:t>Herr talman, jag skall icke utveckla saken längre. Jag vädjar till kammaren att bifalla den vid denna punkt av betänkandet fogade reservationen.</w:t>
      </w:r>
    </w:p>
    <w:p>
      <w:pPr>
        <w:pStyle w:val="Heading2"/>
      </w:pPr>
      <w:r>
        <w:t>2. Ernst Hedenstierna (Nationella framstegspartiet, man)</w:t>
      </w:r>
    </w:p>
    <w:p>
      <w:r>
        <w:rPr>
          <w:b w:val="0"/>
        </w:rPr>
        <w:t>Herr greve och talman! Det är ett ganska tvivelaktigt nöje att behandla pensionsfrågor i bankoutskottet nu för tiden. Vi veta att gången av dessa frågor oupphörligen blir den, att Kungl. Maj:t föreslår ett belopp och någon dag därefter föreslår en enskild motionär en höjning av pensionsbeloppet. Sedan kommer frågan inför kammaren, och hur utskottet än ställt sig till förhöjningen, så brukar denna antagas i någon av kamrarna, vanligtvis i andra kammaren, och så slutar det alltid med, att denna förhöjning blir beviljad av riksdagen. I detta nu föreliggande fall ha åtskilliga ledamöter av utskottet — jag vill minnas, att betänkandet avfattades i föreliggande skick på grund av den slutna omröstningen — icke kunnat gå med på den förhöjning herr Vahlquist i sin motion föreslagit.</w:t>
        <w:br/>
        <w:br/>
        <w:t xml:space="preserve">Förhållandet är ju, att Kungl. Maj:t begärt understöd för några barn efter en eldare vid vattenledningsverket i Boden. Denne man avled efter att endast 47/, år hava varit i statens tjänst. Han hade icke en sådan befattning, att han var berättigad till pension vare sig för sig själv eller sin </w:t>
      </w:r>
      <w:r>
        <w:rPr>
          <w:b/>
        </w:rPr>
        <w:t>änka²</w:t>
      </w:r>
      <w:r>
        <w:rPr>
          <w:b w:val="0"/>
        </w:rPr>
        <w:t xml:space="preserve">. Hans efterlämnade </w:t>
      </w:r>
      <w:r>
        <w:rPr>
          <w:b/>
        </w:rPr>
        <w:t>änka²</w:t>
      </w:r>
      <w:r>
        <w:rPr>
          <w:b w:val="0"/>
        </w:rPr>
        <w:t xml:space="preserve"> är född 1886. Man ansåg då inom utskottet att det var ganska betänkligt att bevilja pension åt </w:t>
      </w:r>
      <w:r>
        <w:rPr>
          <w:b/>
        </w:rPr>
        <w:t>änkan²</w:t>
      </w:r>
      <w:r>
        <w:rPr>
          <w:b w:val="0"/>
        </w:rPr>
        <w:t xml:space="preserve"> efter en tiänsteman, som endast varit 4!/, år i statens tjänst; då </w:t>
      </w:r>
      <w:r>
        <w:rPr>
          <w:b/>
        </w:rPr>
        <w:t>änkan²</w:t>
      </w:r>
      <w:r>
        <w:rPr>
          <w:b w:val="0"/>
        </w:rPr>
        <w:t xml:space="preserve"> därtill var så ung, att </w:t>
      </w:r>
      <w:r>
        <w:rPr>
          <w:b/>
        </w:rPr>
        <w:t>hon²</w:t>
      </w:r>
      <w:r>
        <w:rPr>
          <w:b w:val="0"/>
        </w:rPr>
        <w:t xml:space="preserve"> måste anses vara fullt arbetsför. Man trodde, att man skulle kunna stödja fa- . miljen tillräckligt, om man gav understöd åt de fyra barnen, och utskottet tillstyrkte därför ett understöd för vart och ett av dessa barn med 150 kronor om året. Därigenom ansåg man, att </w:t>
      </w:r>
      <w:r>
        <w:rPr>
          <w:b/>
        </w:rPr>
        <w:t>änkan²</w:t>
      </w:r>
      <w:r>
        <w:rPr>
          <w:b w:val="0"/>
        </w:rPr>
        <w:t xml:space="preserve"> faktiskt fick ett ganska betydande understöd vid barnens uppfostran,</w:t>
        <w:br/>
        <w:br/>
        <w:t xml:space="preserve">600 kronor om året. Jag anser, att riksdagen icke lämpligen bör be- Understöd åt träda en sådan väg, som reservanterna här förorda, nämligen att avlidne : ö 3 ss den: maskinisten oavsett den korta tid, som denna person varit anställd i tillfällig p”F T. Svens befattning i statstjänst, bevilja pension för </w:t>
      </w:r>
      <w:r>
        <w:rPr>
          <w:b/>
        </w:rPr>
        <w:t>änkan²</w:t>
      </w:r>
      <w:r>
        <w:rPr>
          <w:b w:val="0"/>
        </w:rPr>
        <w:t>, som ej av sjuksons minderdom eller annorledes är oförmögen till egen försörjning. åriga barn. Det är på denna grund, jag, herr greve och talman, ber att (Forts) få yrka bifall till utskottets förslag, enligt vilket understöd skulle :</w:t>
        <w:br/>
        <w:br/>
        <w:t>utgå endast åt barnen.</w:t>
        <w:br/>
        <w:br/>
      </w:r>
      <w:r>
        <w:rPr>
          <w:b/>
        </w:rPr>
        <w:t>änkan²</w:t>
      </w:r>
      <w:r>
        <w:rPr>
          <w:b w:val="0"/>
        </w:rPr>
        <w:t xml:space="preserve"> så länge </w:t>
      </w:r>
      <w:r>
        <w:rPr>
          <w:b/>
        </w:rPr>
        <w:t>hon²</w:t>
      </w:r>
      <w:r>
        <w:rPr>
          <w:b w:val="0"/>
        </w:rPr>
        <w:t xml:space="preserve"> förbleve i sitt nuvarande </w:t>
      </w:r>
      <w:r>
        <w:rPr>
          <w:b/>
        </w:rPr>
        <w:t>änkestånd²</w:t>
      </w:r>
      <w:r>
        <w:rPr>
          <w:b w:val="0"/>
        </w:rPr>
        <w:t xml:space="preserve"> med två-</w:t>
        <w:br/>
        <w:br/>
        <w:t>der av 21 år med trettio kronor årligen.</w:t>
        <w:br/>
        <w:br/>
        <w:t xml:space="preserve">Herr Wickman: Herr talman, mina herrar! Endast ett par ord! Här hava vi ett analogt fall med det föregående i punkt 1:0).- I den kungl. propositionen begäres understöd åt </w:t>
      </w:r>
      <w:r>
        <w:rPr>
          <w:b/>
        </w:rPr>
        <w:t>änkan²</w:t>
      </w:r>
      <w:r>
        <w:rPr>
          <w:b w:val="0"/>
        </w:rPr>
        <w:t xml:space="preserve"> och barnen, varemot herr Vahlquist i särskild motion hemställt om högre under-</w:t>
        <w:br/>
        <w:br/>
        <w:t xml:space="preserve">stöd, utgående med 300 kronor årligen åt </w:t>
      </w:r>
      <w:r>
        <w:rPr>
          <w:b/>
        </w:rPr>
        <w:t>änkan²</w:t>
      </w:r>
      <w:r>
        <w:rPr>
          <w:b w:val="0"/>
        </w:rPr>
        <w:t xml:space="preserve"> och med 100 kronor årligen åt vart och ett av barnen. Fallet är analogt med det föregående, och jag ber därför att få yrka bifall till reservationen i förevarande punkt.</w:t>
      </w:r>
    </w:p>
    <w:p>
      <w:pPr>
        <w:pStyle w:val="Heading2"/>
      </w:pPr>
      <w:r>
        <w:t>3. Ernst Hedenstierna (Nationella framstegspartiet, man)</w:t>
      </w:r>
    </w:p>
    <w:p>
      <w:r>
        <w:rPr>
          <w:b w:val="0"/>
        </w:rPr>
        <w:t xml:space="preserve">Jag skall endast med ett par ord motivera utskottets förslag i detta avseende. Det gäller här en pension åt </w:t>
      </w:r>
      <w:r>
        <w:rPr>
          <w:b/>
        </w:rPr>
        <w:t>änka²</w:t>
      </w:r>
      <w:r>
        <w:rPr>
          <w:b w:val="0"/>
        </w:rPr>
        <w:t xml:space="preserve"> efter en fodermarsk, vilken senare arméförvaltningens intendentsdepartement förklarat hava tjänsteställning emellan sergeant och furir. Pension för sergeant utgår med 200 kronor för </w:t>
      </w:r>
      <w:r>
        <w:rPr>
          <w:b/>
        </w:rPr>
        <w:t>änka²</w:t>
      </w:r>
      <w:r>
        <w:rPr>
          <w:b w:val="0"/>
        </w:rPr>
        <w:t xml:space="preserve"> och 30 kronor för varje </w:t>
      </w:r>
      <w:r>
        <w:rPr>
          <w:b/>
        </w:rPr>
        <w:t>hennes²</w:t>
      </w:r>
      <w:r>
        <w:rPr>
          <w:b w:val="0"/>
        </w:rPr>
        <w:t xml:space="preserve"> barn. Utskottet har då ansett att pension för nu ifrågavarande </w:t>
      </w:r>
      <w:r>
        <w:rPr>
          <w:b/>
        </w:rPr>
        <w:t>änka²</w:t>
      </w:r>
      <w:r>
        <w:rPr>
          <w:b w:val="0"/>
        </w:rPr>
        <w:t xml:space="preserve"> och barn ej bör utgå med högre belopp, än nyss angivna. Reservanterna åter hava, oaktat fodermarsk har tjänsteställning under sergeant, tillstyrkt högre belopp än för sergeants </w:t>
      </w:r>
      <w:r>
        <w:rPr>
          <w:b/>
        </w:rPr>
        <w:t>änka²</w:t>
      </w:r>
      <w:r>
        <w:rPr>
          <w:b w:val="0"/>
        </w:rPr>
        <w:t>. Det är denna förhöjning utskottet ansett sig ej kunna gå med på.</w:t>
        <w:br/>
        <w:br/>
        <w:t>Jag yrkar därför bifall till utskottets förslag.</w:t>
        <w:br/>
        <w:br/>
        <w:t>erhölle entledigande från nu innehavande anställning vid statens järnrd till vägsbyggnader, dock med villkor att, därest han framdeles skulle ervissa vid sta-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276</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