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1363</w:t>
      </w:r>
    </w:p>
    <w:p>
      <w:r>
        <w:rPr>
          <w:b/>
        </w:rPr>
        <w:t xml:space="preserve">Datum: </w:t>
      </w:r>
      <w:r>
        <w:t>1917-06-07</w:t>
      </w:r>
    </w:p>
    <w:p>
      <w:r>
        <w:rPr>
          <w:b/>
        </w:rPr>
        <w:t xml:space="preserve">Kammare: </w:t>
      </w:r>
      <w:r>
        <w:t>Andra kammaren</w:t>
      </w:r>
    </w:p>
    <w:p>
      <w:r>
        <w:rPr>
          <w:b/>
        </w:rPr>
        <w:t xml:space="preserve">Antal yttranden: </w:t>
      </w:r>
      <w:r>
        <w:t>5</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Wilhelm Hellberg (Lantmanna- och borgarepartiet inom andrakammaren, man)</w:t>
      </w:r>
    </w:p>
    <w:p>
      <w:r>
        <w:rPr>
          <w:b w:val="0"/>
        </w:rPr>
        <w:t>Herr talman,</w:t>
        <w:br/>
        <w:br/>
        <w:t>mina herrar! Det gäller här en skar åstadkomma en välbehövlig kor och barn. Detta är ju något</w:t>
        <w:br/>
        <w:br/>
        <w:t>kår av familjeförsörjare, som önhöjning av pensionen åt sina änganska vanligt, och riksdagen har,</w:t>
        <w:br/>
        <w:br/>
        <w:t>i synnerhet nu i denna dyrtid, visat sig behjärta sådana önskningar</w:t>
        <w:br/>
        <w:br/>
        <w:t>och beviljat anslag därtill. Men</w:t>
        <w:br/>
        <w:br/>
        <w:t>här inträffar nu det ganska ovan-</w:t>
        <w:br/>
        <w:br/>
        <w:t>liga, det nämligen, att denna kår ej anmodar riksdagen om något anslag alls i detta syfte. Den anmodar endast riksdagen om tilllåtelse att av sina medlemmars egna inkomster, egna medel, få åstadkomma en något förbättrad ställning för de sina, på den tid, då de själva bortkallats från dem genom döden. De begära att få göra en uppoffring från sin sida genom att avstå ett års behållen in-</w:t>
        <w:br/>
        <w:br/>
        <w:t>komst av viss befattning så, att ny befattning det första året må för till den nye innehavaren av</w:t>
        <w:br/>
        <w:br/>
        <w:t>denna inkomst vid tillträdande av få gå till pensionskassan i stället tjänsten. Så har ju skett en om-</w:t>
        <w:br/>
        <w:br/>
        <w:t>gång förut och det har blivit kallat vakansårsinkomst. Denna inkomst har i huvudsaklig grad bildat kassans s. k. grundfond, och av denna har utdelats lika till alla pensionstagare. Av tillskottsfonden har däremot utdelats olika i mån av tjänstinnehavares olika avgift</w:t>
        <w:br/>
        <w:br/>
        <w:t>till kassan. Nu har utskottet tillstyrkt</w:t>
        <w:br/>
        <w:br/>
        <w:t>av familjeförsörjare att på detta</w:t>
        <w:br/>
        <w:br/>
        <w:t>riksdagen att medgiva denna kår sätt, alltså på egen bekostnad, få</w:t>
        <w:br/>
        <w:br/>
        <w:t>ordna saken och tillgodose de sina, då döden kallar familjeförsörja-</w:t>
        <w:br/>
        <w:br/>
        <w:t>ren från deras sida.</w:t>
        <w:br/>
        <w:br/>
        <w:t>Detta var ju vad man kunde ha väntat. Men därjämte inträffade något destomer oväntat, nämligen att</w:t>
        <w:br/>
        <w:br/>
        <w:t xml:space="preserve">utskottet vid denna tillåtelse fäste ett villkor, som, i vissa fall åt- Te prasterminstone, gör förmånen illusorisk. Jag åsyftar de sista orden i skarpets </w:t>
      </w:r>
      <w:r>
        <w:rPr>
          <w:b/>
        </w:rPr>
        <w:t>änke²</w:t>
      </w:r>
      <w:r>
        <w:rPr>
          <w:b w:val="0"/>
        </w:rPr>
        <w:t>-</w:t>
        <w:br/>
        <w:br/>
        <w:t>= . - Ape a och pupillklämmen: »under villkor att det prästerskapet tillförsäkrade s. k. kassaa rätj</w:t>
        <w:br/>
        <w:br/>
        <w:t>tjänståret bortfaller och att änkors samt omyndiga och oförsörjda till inkomst av barns nådår alltså räknas från tiden för tjänstinnehavarens frånvissa befattfälle. » ningar.</w:t>
        <w:br/>
        <w:br/>
        <w:t>Av ålder — jag tror att förordningen därom förskriver sig (Forts.) från Karl XI:s tid — har stärbhuset efter avlidna tjänstinnehavare av denna kår haft rätt till s. k. tjänstår och nådår. Det förra innebär rätt till inkomsten av befattningen, dock mot avlönande av vikarie, intill nästa efter dödsfallet inträffade 1 maj, som är den vanliga tillträdesdagen. Det senare innebär samma rätt beträffande 1 år räknat från sistnämnda 1 maj.</w:t>
        <w:br/>
        <w:br/>
        <w:t>Det nämnda villkoret skulle alltså innebära, att denna kår av familjeförsörjare skulle köpa rättigheten att göra den uppoffring, varom jag nyss talat, med avstående från rätten till det s. k. tjänståret. Men nu är att ytterligare märka, att det ej bleve familjeförsörjarna själva, som finge betala detta pris, nej, det bleve änkor samt de omyndiga och oförsörjda barnen, som finge betala detta; av dem direkt komme det ju att tagas, och det just i de sorgens dagar, då maken och fadern gått ifrån dem genom döden. Vore det för mycket att säga, att stipulerandet av ett sådant villkor vore hjärtlöst, jag höll på att säga brutalt, men jag vill icke använda detta ord.</w:t>
        <w:br/>
        <w:br/>
        <w:t xml:space="preserve">Häremot kan invändas, att det icke i alla förekommande fall finnes </w:t>
      </w:r>
      <w:r>
        <w:rPr>
          <w:b/>
        </w:rPr>
        <w:t>änka²</w:t>
      </w:r>
      <w:r>
        <w:rPr>
          <w:b w:val="0"/>
        </w:rPr>
        <w:t xml:space="preserve"> och barn efter avliden tjänstinnehavare. Javäl, det är sant. Men i de flesta fall finnas sådana, och vore det också så endast i sällsynta fall, vilket det tydligtvis ej är, så vore det ju dock synnerligen betänkligt att genom sitt votum hava bidragit till att öka deras sorg och tynga deras börda.</w:t>
        <w:br/>
        <w:br/>
        <w:t>Utan tvivel har dock riksdagen både rätt och makt att för sin del handla så. Kammarkollegium har, sin plikt likmätigt, påpekat detta, likaså utskottet. Detta är ju, som sig bör, men mina herrar, därmed är väl ej sagt, att riksdagen bör eller vill begagna sig av denna rätt och makt. . Det skulle väl förekomma föga angenämt och tilltalande att gå fram med voteringssedel i handen, som bidroge till att öka sorg och bekymmer i sorgehus.</w:t>
        <w:br/>
        <w:br/>
        <w:t>Jag tror ej, mina herrar, att ni i oträngt mål vilja göra sorgen ännu tyngre att bära för dessa, som just förlorat sitt stöd, för änkorna och de omyndiga och oförsörjda barnen genom att, medelst bibehållande av nämnda villkor, beröva dessa en för de allra flesta bland dem angelägen och dyrbar förmån. Jag dristar därför, herr talman, att yrka bifall till utskottets hemställan med uteslutande EE sista delen av klämmen, som börjar med orden: »samt under villkor».</w:t>
      </w:r>
    </w:p>
    <w:p>
      <w:pPr>
        <w:pStyle w:val="Heading2"/>
      </w:pPr>
      <w:r>
        <w:t>2. Wilhelm Edbom (Socialdemokraterna, man)</w:t>
      </w:r>
    </w:p>
    <w:p>
      <w:r>
        <w:rPr>
          <w:b w:val="0"/>
        </w:rPr>
        <w:t>Herr talman! Då jag deltagit i utskottets behandling av denna fråga må det tillåtas mig att säga ett par ord.</w:t>
        <w:br/>
        <w:br/>
        <w:t xml:space="preserve">Jag har inom utskottet framhållit den synpunkten, att den väg, som utskottet har gått, kanske icke är idealisk. Jag har nämligen trott, att saken skulle kunnat ordnas på så sätt, att pensionskassans möjlighet att lämna högre bidrag till änkorna hade åstadkommits genom s. k. befordringsavgifter, d. v. s. därigenom att präster vid befordran till högre grad, vid tillträdandet av platsen, ålades att erlägga högre avgift till denna kassa, men då jag funnit, att den vägen icke är framkomlig, då det är nästan omöjligt att pålägga prästerskapet så höga avgifter, att vad genom dem åstadkoms skulle tillnärmelsevis fylla det behov, som gör sig gällande, för att dessa </w:t>
      </w:r>
      <w:r>
        <w:rPr>
          <w:b/>
        </w:rPr>
        <w:t>änkepensioner²</w:t>
      </w:r>
      <w:r>
        <w:rPr>
          <w:b w:val="0"/>
        </w:rPr>
        <w:t xml:space="preserve"> skulle kunna i väsentlig grad höjas, har jag också förenat mig med utskottet i detta fall.</w:t>
        <w:br/>
        <w:br/>
        <w:t xml:space="preserve">Vad som för mig har varit avgörande, har varit, att just dessa villkor fästs vid rätten till erhållande av ett extra vakansår, nämligen att det s. k. tjänståret bortfölle. Tjänståret verkar nämligen mycket orättvist. Ty om exempelvis en präst dör den 2 maj, får stärbhuset, om det finnes </w:t>
      </w:r>
      <w:r>
        <w:rPr>
          <w:b/>
        </w:rPr>
        <w:t>änka²</w:t>
      </w:r>
      <w:r>
        <w:rPr>
          <w:b w:val="0"/>
        </w:rPr>
        <w:t xml:space="preserve"> eller minderåriga barn, uppbära inkomst ett helt år, till nästa 1 maj, om stärbhuset bekostar vikarie, varemot om en präst dör exempelvis 30 april, stärbhuset icke kommer i åtnjutande av något tjänstår. Detta är ju en orättvisa, som bör på något sätt rättas. Med det förslag, utskottet kommit till, skulle verkligen stärbhuset få det s. k. nådåret, som då skulle börja vid prästens frånfälle och räcka ett år, då däremot det s. k. tjänståret bortfölle. Detta är efter min uppfattning en så stor förtjänst, att jag fördenskull har gått med på utskottets förslag i detta fall.</w:t>
        <w:br/>
        <w:br/>
        <w:t>Då det här icke gäller någon utgift vare sig för kommunerna eller för staten, utan det är så att säga en angelägenhet för prästerskapet självt, anser jag icke, att det är någon risk att bifalla utskottets förslag. Jag skall därför, herr talman, be att få yrka bifall till detsamma.</w:t>
      </w:r>
    </w:p>
    <w:p>
      <w:pPr>
        <w:pStyle w:val="Heading2"/>
      </w:pPr>
      <w:r>
        <w:t>3. Emil Kristensson (Socialdemokraterna, man)</w:t>
      </w:r>
    </w:p>
    <w:p>
      <w:r>
        <w:rPr>
          <w:b w:val="0"/>
        </w:rPr>
        <w:t>Herr talman! Den förste ärade talaren här tyckes vara mera konungslig än konungen själv. Om han uppmärksamt ville läsa den motion, som här är avgiven av motionärerna, skulle han där kunna inhämta, att motionärerna själva ha angivit, att de för sin del kunde vara villiga att göra detta avkall på prästernas gamla privilegier för att erhålla det vederlag, varom här är fråga.</w:t>
        <w:br/>
        <w:br/>
        <w:t>Förhållandet är ju det, att pensionerna till prästerskapets änkor och barn äro alldeles för små i förhållande till vad tiden kräver, och att de alltså behöva höjas. Det är någonting, som är alldeles oomtvistligt.</w:t>
        <w:br/>
        <w:br/>
        <w:t>Då har man olika vägar att gå för att åstadkomma en höjning av dessa pensioner. Den ena vägen är att höja avgifterna. Det är redan nämnt, att om man skulle gå den vägen, det skulle dröja så länge, innan genom dessa pensionsavgifters inflytande det matematiska värdet bleve så stabiliserat, att man skulle kunna utbetala högre pensioner, att de nu levande änkorna, som bäst behöva det, icke skulle få någon förmån därav, och man kunde ju icke</w:t>
        <w:br/>
        <w:br/>
        <w:t xml:space="preserve">disponera medlen i förväg. Den andra vägen är den, som här nämnts 4ng. präster i diskussionen, nämligen att lämna ett ytterligare vakansår. Men skapets </w:t>
      </w:r>
      <w:r>
        <w:rPr>
          <w:b/>
        </w:rPr>
        <w:t>änkedå²</w:t>
      </w:r>
      <w:r>
        <w:rPr>
          <w:b w:val="0"/>
        </w:rPr>
        <w:t xml:space="preserve"> skulle inträffa det, att om en präst dog till exempel i maj, så bassas rätt skulle det första året bli ett s. k. tjänstår, under vilket stärbhuset til inkomst av kom att sitta kvar vid befattningen; sedan skulle det bli ett nådår vissa befatt och så för det tredje ett nytt vakansår. Det blir ovillkorligen en = ”9ar. ganska lång tidrymd. (Forts.) Nu är det så beträffande tjänståret att det varierar, så att det i ett fall kan bli rätt långt, men i ett annat fall blott en månad eller fjorton dagar eller så, beroende på, vid vilken tid av året vederbörande avlidit. Det är väl icke någon rättvisa i att en förmån skall vara beroende av en dylik omständighet. Då är det väl rättvisare, att det blir lika för alla, och det kommer det att bli, därest riksdagen bifaller utskottets förslag. Detta innebär nämligen, att där det finns </w:t>
      </w:r>
      <w:r>
        <w:rPr>
          <w:b/>
        </w:rPr>
        <w:t>änka²</w:t>
      </w:r>
      <w:r>
        <w:rPr>
          <w:b w:val="0"/>
        </w:rPr>
        <w:t xml:space="preserve"> och oförsörjda barn, få de sitta ett år efter dagen för frånfället, det s. k. nådåret. Detta få alla prästänkor och barn, och det blir alltså rättvisa och likhet. Sedan blir det, första gången platsen är ledig, ett vakansår, varav inkomsten kommer att tillfalla kassan, för såvitt det nämligen är första gången inom perioden. Om en befattning blir ledig flera gånger under en viss period, så är det alltså dock blott en gång ett dylikt vakansår. Nu har det väckts opposition mot detta förslag på två olika linjer. Den ena linjen är den, som, såsom en föregående talare nämnde, menar, att detta är orättvist mot änkorna och barnen. Jag kan icke finna det, utan det är tvärtom verkligen så, att här sker rättvisa. Det blir möjligt för de efterlevande att få något så när tryggade pensioner, att få ett tillskott, visserligen icke så stort, men dock i dessa tider säkerligen mycket välkommet. Det blir vidare rättvisa så tillvida, att alla änkor komma att sitta lika länge kvar efter mannens död. Den andra linje, på vilken man väckt opposition mot detta, har varit den, att församlingsvården skulle taga skada, om här på nytt infördes en bestämmelse att </w:t>
      </w:r>
      <w:r>
        <w:rPr>
          <w:b/>
        </w:rPr>
        <w:t>änkeoch²</w:t>
      </w:r>
      <w:r>
        <w:rPr>
          <w:b w:val="0"/>
        </w:rPr>
        <w:t xml:space="preserve"> pupillkassan skulle få ett vakansår. Det skulle ju bli så, att under perioden skulle det en gång bli ett dylikt vakansår och alltså en vikarie uppehålla platsen ett år. Jag tror icke, att man med fullt fog kan påstå, att församlingsvården skall av detta förhållande kunna taga någon skada, åtminstone icke alls i sådan grad, att det kan uppväga den stora fördel, som ligger i att </w:t>
      </w:r>
      <w:r>
        <w:rPr>
          <w:b/>
        </w:rPr>
        <w:t>änkeoch²</w:t>
      </w:r>
      <w:r>
        <w:rPr>
          <w:b w:val="0"/>
        </w:rPr>
        <w:t xml:space="preserve"> pupillkassan får ett avsevärt tillskott. Jag kan icke heller ur den synpunkten finna, att motståndet mot det förslag, som här föreligger, kan anses ha fog för sig. Beträffande nu det vederlag, som utskottet här satt i fråga, torde den första ärade talaren observera, att de myndigheter, som i detta fall yttrat sig, skarpt sagt ifrån, att det icke är praktiskt möjligt att komma fram på någon annan väg än den, som utskottet föreslagit. Jag är för min del övertygad, att om riksdagen nu fattar beslut i enlighet med bankoutskottets förslag, så kommer även kyrkomötet för sin del att gå på den linjen, och då blir denna fråga löst på det sätt, som torde vara det bästa och enklaste sättet</w:t>
        <w:br/>
        <w:br/>
        <w:t>att lösa denna fråga, och de fattiga, som det här gäller, bli verkligen snart hulpna, och här är snar hjälp av nöden. Jag yrkar, herr talman, bifall till utskottets förslag.</w:t>
      </w:r>
    </w:p>
    <w:p>
      <w:pPr>
        <w:pStyle w:val="Heading2"/>
      </w:pPr>
      <w:r>
        <w:t>4. Alfred Berg (Lantmanna- och borgarepartiet inom andrakammaren, man)</w:t>
      </w:r>
    </w:p>
    <w:p>
      <w:r>
        <w:rPr>
          <w:b w:val="0"/>
        </w:rPr>
        <w:t>Herr talman! Jag har icke haft tillfälle att åhöra den talare, som öppnade denna debatt. Jag skulle annars kanske kunnat instämma med honom. Men då jag icke varit i tillfälle därtill, så ber jag att få framhålla, att enligt min uppfattning det förslag, som utskottet här framlagt, innebär, jag vill icke säga en orättvisa, ty den sista ärade talaren kan ha rätt i, att i viss mån innebär det rättvisa, men det är dock något hårt, alt när prästerna vilja, så att säga, offra ett års inkomster för att därmed stärka sin pensionskassefond, så säger man: nej, det är icke nog; därtill fordras ännu, att ni offra, låt mig säga, halva inkomsten av det s. k. tjänståret. Jag kan icke hjälpa, att jag finner detta något hårt, men då nu icke något annat förslag, än utskottets föreligger, som jag skulle kunna ansluta mig till, ingen reservation, så har jag, herr talman, intet yrkande.</w:t>
      </w:r>
    </w:p>
    <w:p>
      <w:pPr>
        <w:pStyle w:val="Heading2"/>
      </w:pPr>
      <w:r>
        <w:t>5. Wilhelm Hellberg (Lantmanna- och borgarepartiet inom andrakammaren, man)</w:t>
      </w:r>
    </w:p>
    <w:p>
      <w:r>
        <w:rPr>
          <w:b w:val="0"/>
        </w:rPr>
        <w:t xml:space="preserve">Herr talman! Den siste ärade talaren sade, att det icke fanns något förslag att ansluta sig till, för att undkomma vad han dock fann vara olämpligt och orättvist, nämligen att taga ifrån änkorna detta, nämligen förmånen av tjänståret, att fordra detta vederlag för vad som ju dock icke är annat än prästernas egen uppoffring för att ordna förhållandena för de sina. Här är dock framlagt ett yrkande, som skulle kunna, tror jag, tillfredsställa just vad den sista ärade talaren önskade, nämligen att detta villkor bortfaller, som innehålles i slutet av klämmen. Jag skall be att få läsa upp, hur klämmen då skulle komma att se ut. Den skulle komma att se ut så här: »att riksdagen, i anledning av förevarande motioner I: 63 och II: 234, må besluta att för sin del medgiva, att prästerskapets </w:t>
      </w:r>
      <w:r>
        <w:rPr>
          <w:b/>
        </w:rPr>
        <w:t>änkeoch²</w:t>
      </w:r>
      <w:r>
        <w:rPr>
          <w:b w:val="0"/>
        </w:rPr>
        <w:t xml:space="preserve"> pupillkassa tillerkännes rätt till ytterligare ett års behållen inkomst av varje befattning, vars innehavare är pliktig att vara delägare i kassan, i den mån dessa befattningar första gången efter det sådan rätt tillerkänts kassan varda lediga. dock beträffande de befattningar, för vilka lönereglering av prästerskapets avlöning den 9 december 1910 stundar, först sedan ny lönereglering blivit vid dem genomförd.»</w:t>
        <w:br/>
        <w:br/>
        <w:t>Detta är ju precis vad den sista ärade talaren ansåg vara rätt och lämpligt. Jag frågar honom då, varför han icke kan ansluta sig till detta mitt yrkande och biträda detsamma.</w:t>
        <w:br/>
        <w:br/>
        <w:t>Det skulle vara åtskilligt att svara på vad de föregående ärade talarna ha yttrat här, men jag tror icke det är skäl att uppehålla kammaren därmed, då tiden redan är så långt framskriden. Jag skall därför nöja mig med att vidhålla mitt yrkande.</w:t>
        <w:br/>
        <w:br/>
        <w:t>Ja, jag ber dock att få säga ännu några ord om detta veder-</w:t>
        <w:br/>
        <w:br/>
        <w:t>lag. Jag ber att få påminna om, vem det skulle tagas ifrån Ang. präster- Det skulle tagas ifrån änkorna och barnen, de oförsörjda och omynskröt? Tr diga barnen. Och vem skulle det givas till? Jo, det skulle rissas rätt givas till dessa ämbetsinnehavare, som just ha fått av dem eftertill inkomst av sökt befattning. Kan detta synas rättvist och lämpligt? Kan kamvissa befattmaren tycka att detta villkor icke borde bortfalla, så skulle det i "ingar</w:t>
        <w:br/>
        <w:br/>
        <w:t>högsta grad förvåna mig. (Forts.)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1363</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