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1385</w:t>
      </w:r>
    </w:p>
    <w:p>
      <w:r>
        <w:rPr>
          <w:b/>
        </w:rPr>
        <w:t xml:space="preserve">Datum: </w:t>
      </w:r>
      <w:r>
        <w:t>1918-03-09</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Arthur Engberg (Socialdemokraterna, man)</w:t>
      </w:r>
    </w:p>
    <w:p>
      <w:r>
        <w:rPr>
          <w:b w:val="0"/>
        </w:rPr>
        <w:t>Herr talman, mina herrar! Innan jag går att i någon mån bemöta den kritik, som av herr Räf riktades gentemot konstitutionsutskottets majoritet, så skall jag, eftersom jag inom konstitutionsutskottet deltagit i behandlingen av detta ärende, be att få fästa uppmärksamheten på några principiella synpunkter, som det gäller att taga fasta på, när man har att behandla den här frågan, och jag skall då be att först ett ögonblick få dröja vid det begrepp, som i denna fråga otvivelaktigt är det centrala, nämligen begreppet »bekänna den rena evangeliska läran».</w:t>
        <w:br/>
        <w:br/>
        <w:t>Det innefattar, därom kunna vi alla vara ense, ostridigt en sak, nämligen att man skall vara formellt kyrkoskriven, alltså formellt vara skriven i en evangelisk-luthersk församling. På frågan, huruvida utöver den formella kyrkoskrivenheten tarvas ett försanthållande av den rena evangeliska läran, d. v. s. innehållet i den</w:t>
        <w:br/>
        <w:br/>
        <w:t>oförändrade augsburgska bekännelsen av år 1530 och Uppsala mötes beslut av år 1593, utfalla svaren högst olika. Somlise svara, att det räcker med enbart den formella kyrkoskrivenheten, andra åter svara, att utöver denna formella kyrkoskrivenhet dessutom måste krävas, att man i sin övertygelse omfattar kyrkans bekännelse.</w:t>
        <w:br/>
        <w:br/>
        <w:t>Ställer man sig på den första ståndpunkten, bör naturligtvis redan från början en sak vara ställd utom diskussion, och det är, att en grundlagsenlig diskvalifikation i religiöst avseende i så fall kan föreligga först i och med att vederbörande formellt utträder ur statskyrkan. Ställer man sig åter på den andra ståndpunkten. d. v. s. att man kräver en inre tillhörighet till kyrkan, ja, då inses lika omedelbart, att grundlagsenlig diskvalifikation i religiöst hänseende föreligger, när någon varder förvunnen att i sin övertygelse avvika från innehållet i kyrkans bekännelseskrifter.</w:t>
        <w:br/>
        <w:br/>
        <w:t>Det är nu emellertid att märka, att det enda som kan rättfärdiga den påtalade bekännelsens existens i vad avser $ 28 regeringsformen är, att den skall utgöra någon slags garanti emot irrlärighet, en sak som också betonades av herr Räf i hans anförande. Det kan uppenbarligen icke sökas någon annan förnuftig mening för bestämmelsens förhandenvaro. Men om det förhåller sig på det sättet, är det också uppenbart, att den sistnämnda innebörden av stadgandet, nämligen att utöver den formella kyrkoskrivenheten skulle fordras en inre tillhörighet till kyrkan, blir omöjlig att praktiskt upprätthålla. Det skulle i det fallet innebära, att man skulle utan vidare omfatta uti sin övertygelse vad som föreligger i kyrkans bekännelseskrifter. Tolkar man det då på det första sättet, då är jag tillbaka till vad jag nyss sade, att det kan endast vara det formella utträdet ur kyrkan, som kan vara diskvalifikationsgrund.</w:t>
        <w:br/>
        <w:br/>
        <w:t>Fråga blir emellertid, om man icke här från kyrkligt håll också kan hävda en tredje ståndpunkt, och det gör man uppenbarligen i den tolkning, som under de senare åren blivit auktoriserad från det hållet, nämligen att man däruti inlägger betydelsen av en s. k. preventiv garanti mot irrlärighet.</w:t>
        <w:br/>
        <w:br/>
        <w:t>Det utvecklades i första kammaren år 1910 utav biskop Billing vad man menar med en preventiv garanti i detta hänseende. Det var när det gällde frågan om inträdesbestämmelser till seminarierna Herr Billing yttrade därvid bland annat: »Om det står i en lag såsom villkor för inträde i ett seminarium, att man skall bekänna den rena evangeliska läran, kan det i den praktiska tillämpningen icke få någon annan betydelse, än att den, som visar sig vara medlem av den svenska kyrkan måtte anses bekänna den rena evangeliska läran, tills det blir ådagalagt av någon annan, att han icke det gör.»</w:t>
        <w:br/>
        <w:br/>
        <w:t>Jag ber att få fästa herrarnas uppmärksamhet på det egendomliga i denna tolkning, i det att den förutsättning, som skall fyllas, för att man i religiöst hänseende skall vara grundlagsenligt kvalificerad, är en annan än den förutsättning, i vilken man skall</w:t>
        <w:br/>
        <w:br/>
        <w:t>nuft säger, att endast försyndelse emot den bestämmelse, som gör mig i religiöst hänseende kvalificerad, kan göra mig i samma avseende grundlagsenligt diskvalificerad. Alltså: därest det är så, att vad som i religiöst hänseende grundlagsenligt kvalificerar mig är den formella kyrkoskrivenheten, är det uppenbart, vid den ringaste eftertanke, att endast utträde ur kyrkan kan i religiöst hänseende göra mig grundlagsenligt diskvalificerad.</w:t>
        <w:br/>
        <w:br/>
        <w:t>Den grundlagstolkning, mot vilken jag därför på den punkten skulle vilja vända mig, resonerar alltså på följande sätt. Den säger, att kyrkoskrivenhet får räcka såsom garanti, ty denna kyrkoskrivenhet presumerar en inre tillhörighet till kyrkan. Adagalägger däremot en efterhandsprövning, att denna presumtion är oriktig, d. v. s. att ens kyrkoskrivenhet icke motsvaras av en inre kyrkotillhörighet, så skall man anses vara grundlagsenligt diskvalificerad. Samma gäller alltså även, om en förhandsprövning uppdagar, att presumtionen är oriktig. Men det torde utan vidare stå klart, att med en dylik grundlagstolkning är i $ 28 faktiskt inlagt ett krav på att en formell kyrkoskrivenhet skall motsvaras av en inre kyrkotillhörighet. Med andra ord, denna nyare tolkning avlägsnar endast skenbart stadgandets innebörd utav ett krav på att man skall i sin övertygelse omfatta kyrkans lära. Vi äro realiter tillbaka till den gamla ståndpunkten igen, i det att man gör gällande, att man har rätt att bakom den formella kyrkoskrivenheten också fordra en inre tillhörighet till kyrkan.</w:t>
        <w:br/>
        <w:br/>
        <w:t>Men om det alltså står klart, att man genom en dylik uttolkning inte kan komma någon annan väg än tillbaka till den gamla ståndpunkten, då inställer sig frågan: Vad menas då här med den rena evangeliska läran? Ja, det är tydligen uttalat i våra författningar: Det är Uppsala mötes beslut, och det är den oförändrade augsburgska bekännelsen. Därutöver ha vi inga bekännelseskrifter, som räknas till den rena evangeliska läran. Ar det nu verkligen herr Räfs uppfattning, att man fortfarande kan tvinga alla medborgare att stå kvar på den åskådnings grundval, som markerats i dessa bekännelseskrifter, avslutade för vårt vidkommande 1593? Har det undgått herr Räfs och de andras uppmärksamhet, vilka stå på samma sida som han, att vi efter den tiden ha sett en stor och betydande teologisk forskning uppblomstra, hur den ena dogmen efter den andra har skjutits åt sidan och hur man fått pruta av mycket, som man före 1593 betraktade som oeftergivligt? Har det undgått reservanternas uppmärksamhet, att hela den moderna teologien skulle med den tolkning, som herr Räf vill ge åt dessa bestämmelser, drabbas av straff enligt den grundlagstolkning, som auktoriseras på det hållet? Universitetsteologien har på den punkten börjat vandra sina egna vägar, men skolundervisningen, den stär alltjämt och stampar på samma ståndpunkt. Det har uppstått en klyfta mellan de båda åskådningarna, en klyfta, som sannerligen inte kan övervinnas på annat sätt, än att man</w:t>
        <w:br/>
        <w:br/>
        <w:t>här också tar konsekvenserna av den nya tiden och släpper efter på bekännelsetvånget.</w:t>
        <w:br/>
        <w:br/>
        <w:t xml:space="preserve">Det är att märka, att våra grundlagar ställa samma renlärighetskrav på folkskolläraren som på teologie professorn, på seminarieläraren som på teologie professorn. Men hur tillämpas det? Ja, om vi titta på universitetsstatuterna, finna vi där i 8 53, att det enda, som kräves av en lärare vid universitetet — han må tillhöra teologiska fakulteten eller någon annan fakultet -— är, att han skall ha ådagalagt vetenskaplig skicklighet. Däremot har man, när det gäller folkskolelärare och seminarielärare gått längre, i det att man i de särskilda författningarna inlagt bestämmelser, som ställa större krav på dessa än på de förra. Jag erinrar i detta avseende om folkskolestadgans 8 18, där det säges, att såväl ordinarie som extra ordinarie skollärare skall vara känd för gudsfruktan, eller stadgan för folkskoleseminarier 8 15, där det heter: »Den som skall anställas som lärare eller </w:t>
      </w:r>
      <w:r>
        <w:rPr>
          <w:b/>
        </w:rPr>
        <w:t>lärarinna³</w:t>
      </w:r>
      <w:r>
        <w:rPr>
          <w:b w:val="0"/>
        </w:rPr>
        <w:t xml:space="preserve"> i kunskapsämne vid seminarium och vid övningsskolan bör bekänna sig till den rena evangeliska läran, vara känd för gudsfruktan och goda seder.» Och i 8 19 mom. l av samma stadgar heter det vidare: »För att kunna förordnas såsom lärare i övningsämne vid seminarium fordras att vara känd för gudsfruktan och goda seder.»</w:t>
        <w:br/>
        <w:br/>
        <w:t>Ja, som herrarna märka, ställas här utöver vad som står i grundlagen långt strängare krav på renlärighet för folkskollärarnas och seminarielärarnas vidkommande än som ställes på de teologie professorerna. Detta är en omständighet, som uppenbarligen icke på förnuftig grund kan motiveras och längre upprätthållas. Jag skulle vilja till herr Räf på den punkten hemställa, huruvida han anser det rimligt, att man här skall ställa strängare renlärighetskrav på den, som innehar en lärarbefattning i matematik vid ett folkskollärareseminarium, än på den, som har en lärarbefattning i matematik vid högre allmänt läroverk. Ty som herr Räf har sig bekant, ställes på den, som har en lärarbefattning vid högre allmänt läroverk intet särskilt renlärighetskrav, annat än när det gäller lärare i kristendom, men vid folkskoleseminarierna ställes detta renlärighetskrav inte bara på läraren i kristendom utan på samtliga andra lärare, även gymnastiklärare och teckningslärare. Jag undrar, om herr Räf skulle anse den rena evangeliska läran vara hotad, därest en gymnastiklärare eller en teckningslärare vid ett folkskoleseminarium icke skulle råka fylla de bestämmelser den Sera ilda författningen kräver, att han skall fylla i detta avseende.</w:t>
        <w:br/>
        <w:br/>
        <w:t>Men vidare är det också att märka, att hela den åskådning, som framträdde i herr Räfs anförande, har fått ett sjungande underbetyg av åtskilliga målsmän för den evangeliska teologien själv. Jag skall taga ett exempel. Den man, som man näst efter Luther inom den protestantiska kyrkan betraktar som den främste målsmannen för evangelisk-luthersk teologi, nämligen Harnack, en man som utav den evangeliska trons beskyddare, kejsaren av Tyskland, för sina förtjänster om teologien har fått ett von framför</w:t>
        <w:br/>
        <w:br/>
        <w:t>å ändring i namnet och som nu alltså heter Adolf von Harnack, har gjort ett</w:t>
        <w:br/>
        <w:br/>
        <w:t>särskilt märkligt uttalande med avseende på forskningsfrihet och tro, och jag skall be att till herr Räfs begrundande få andraga detta uttalande. Han säger: »Med hänsyn till forskning och kunskap måste friheten vara utan skrankor, emedan här en villkorlig frihet icke är någon frihet längre. Det finns saker, som kunna halveras och likväl besitta en del av sin kraft. Men till dessa hör icke forskningens och kunskapens frihet. Man: har den eller man har den inte. Halva friheten är också bundenhet, bara mildare. Religionen på sitt högsta stadium vill icke veta av en sådan frihet, ty sanningen gar för den över allting annat. Den skulle hellre dö i sin frihet, om det vore möjligt, än pålägga sig en boja, som trycker den. — — Lika visst som på religionens högsta stadium en konflikt med den fria forskningens princip är utesluten, emedan denna är religionens egen princip, lika visst är det, att denna princip råkar i en oundviklig och varaktig konflikt med auktoritetsreligionen.»</w:t>
        <w:br/>
        <w:br/>
        <w:t>Ja, där hör herr Räf, huru en av de främsta målsmännen för den protestantiska teologien i nutiden bedömer de förhållanden, som här beröras i $&amp; 28, och särskilt den bestämmelse därstädes, som gäller lärare i teologi. | s</w:t>
        <w:br/>
        <w:br/>
        <w:t>Men har herr Räf vidare tänkt på en annan sak, det förhållandet nämligen, att man å universitetsteologiens sida åtnjuter en frihet, som icke åtnjutes av dem, som i sin undervisning återgiva vad universitetsteologien säger. Om en folkskollärare faller på den idén att i sin undervisning referera vad den teologiska forskningen har fastställt, kan han bliva avskedad. Vi hade år 1915 ett fall uppe i Ångermanland, som kanske herr Räf känner till, där en folkskollärare endast därför, att han vågade betvivla ändamålsenligheten av Noaks ark, ställdes till rätta för denna sin irrlärighet. Jag undrar, om man i dylikt fall skulle inskrida mot en universitetsteolog. Man inskrider icke mot dessa trots att de, såsom det nog är herr Räf bekant, numera förneka icke blott mera periferiska dogmer, utan även så centrala dogmer som den om, Dost uppståndelse eller, det må icke förtigas, dogmen om Jesu gudom.</w:t>
        <w:br/>
        <w:br/>
        <w:t>"Man förstår, att här råder en orättvisa, som det gäller att avlägsna. Det är icke, såsom herr Räf sökt framställa saken, det avgörande att få en attack mot kristendomen och mot den evangeliska läran. I den reservation, som herrar Räf och von Mentzer avfattat, ha de verkligen uttryckt sig på det sättet, att läsaren får det intrycket, att den evangeliska lärans vara eller icke vara hänger därpå, huruvida dessa grundlagsbestämmelser alltjämt finnas till. Jag undrar, huruvida det kan vara sanning, såsom herrar Räf och von Mentzer säga här i reservationen: »Våra förfäder hava i vårt älskade fosterland och dess samhällsordning åt oss överlämnat ett stort och härligt arv. Den dyrbaraste klenoden i detta arv är den rena evangeliska läran. TI striderna för denna hava de givit sina liv och sitt blod. För att även för framtiden</w:t>
        <w:br/>
        <w:br/>
        <w:t>bevara denna klenod, hava de i våra grundlagar infört stadganden, vilkas rubbning skulle vara av mycket ödesdiger art.&gt; De fäder som herr Räf här har i åtanke, skulle väl vara 1600-talets fäder, tänker jag mig. Men herr Räf har väl märkt, att denna grundlagsbestämmelse undergått åtskilliga förändringar efter 1600-talet. Just 1600-talets ortodoxi var ett förtvivlat och storstilat försök att tillämpa den rena evangeliska läran i praktiken, att draga ut den till sina yttersta konsekvenser. Men detta försök strandade, och när vi fingo religionsfrihetsedikten under Gustaf III, och när vi kommo fram till år 1867, skötos där sådana bräscher i den muren, herr Räf, att det vill sannerligen till att sätta sin läsekrets på ett intellektuellt kraftprov, därest man skall söka inbilla den, att i detta fall skulle föreligga den första attacken gent emot den ståndpunkt, som intagits av våra s. k. fäder.</w:t>
        <w:br/>
        <w:br/>
        <w:t>Men jag vill övergå från den sidan av saken till att påpeka en annan. De reservanter, som här i betänkandet uppträtt före herrar von Mentzer och Räf, ha särskilt fäst sig vid det krav, som framburits av herr Möller i hans motion på borttagandet av renlärighetskravet för statsråden. Reservanternas resonemang i den punkten är ganska karakteristiskt; det lyder ungefär på detta sätt: Konungen skall enligt regeringsformen 8 2 vara utav den rena evangeliska läran, därtör skola även de, som inträda i Konungens stad och ställe vara av den rena evangeliska läran. Riksstyrelsen, varom talas i $$ 39—42 regeringsformen, består av statsrådet, och såsom inträdande i Konungens ställe skall statsrådet, mena reservanterna, vara av den rena evangeliska läran, och detsamma skall då också enligt reservanternas mening gälla i fråga om tillförordnad regering enligt $ 43 regeringsformen. Men det är karakteristiskt för reservanternas resonemang, att de fortsätta och göra gällande, att då skola också de enskilda medlemmarna av statsrådet vara av den rena evangeliska läran.</w:t>
        <w:br/>
        <w:br/>
        <w:t>Jag skulle mot hela detta resonemang vilja invända, att det vilar på en sofistisk tankegång.</w:t>
        <w:br/>
        <w:br/>
        <w:t>För det första överför det den bekännelseskyldighet som gäller Konungen personligen, till statsrådet såsom en kollektiv enhet. Grundlagen känner nu icke något kollektivt bekännande av den rena evangeliska läran; bekännelsekravet ställes överallt i grundlagen på person och icke på kollektiva, om också såsom personer fingerade enheter. Detta överförande saknar all grund, ty statsrådet kan såsom en kollektiv enhet icke bekänna någon lära alls.</w:t>
        <w:br/>
        <w:br/>
        <w:t>För det andra vilar detta resonemang på ett felslut, när det av den omständigheten, att statsrådet såsom inträdande i Konungens stad och ställe skulle presumeras bekänna den rena evangeliska läran, drar den slutsatsen, att de enskilda medlemmarna av statsrådet därför också måste bekänna den rena evangeliska läran. Vad som här förutsättes gälla för en kollektiv enhet, får därför icke anses gälla för de enskilda medlemmarna utav denna kollektiva enhet; den saken borde vara klar.</w:t>
        <w:br/>
        <w:br/>
        <w:t>Och för det tredje är riksstyrelsen icke att utan vidare, såsom</w:t>
        <w:br/>
        <w:br/>
        <w:t>Konungen, eller att anse såsom helt och hållet fungerande i Konungens stad och ställe. Konungen är, såsom herr Räf har sig bekant, oansvarig; riksstyrelsen är uttryckligen enligt regeringsformen ansvarig. Konungen utnämner till förtroendeposter med definitiv giltighet, men alla riksstyrelsens utnämningar till dessa poster, även när det gäller kyrkliga förtroendeposter, ha endast en provisorisk giltighet. Däri ligger också uttryckligen, att man icke har rätt att, såsom herr Räf och övriga reservanter i konstitutionsutskottet här göra, likställa riksstyrelsen och Konungen och därav draga de slutsatser, som man här gjort.</w:t>
        <w:br/>
        <w:br/>
        <w:t>Men man har också resonerat på ett annat sätt, och även detta resonemang har framkommit ifrån högerhåll. Man har sagt: Konungen är svenska kyrkans summus episcopus; när nu statsrådet enligt regeringsformens här åberopade paragrafer inträder såsom riksstyrelse 1 Konungens ställe, så skall också statsrådet vara summus episcopus. En parallell, herr Räf! Konungen är enligt regeringsformens 8 14, vill jag minnas, krigsmaktens högste befälhavare både till lands och sjöss. Om högerns resonemang gäller, bör man då också säga, att arméns överste och högste krigsherre är riksstyrelsen, när den inträder i Konungens stad och ställe. Jag undrar, om herr Räf vill upprätthålla den jämförelsen och draga de konsekvenser av densamma, som äro oundgängliga.</w:t>
        <w:br/>
        <w:br/>
        <w:t>Jag skulle alltså med avseende å nu ifrågavarande punkt vilja säga, att de i detta avseende nu gällande bestämmelserna äro. ohållbara. De skäl, som ha utvecklats i herr Möllers motion, synas mig fullständigt ovederlagda av det anförande, som herr Räf här höll, ty det är dock självfallet, att den omständigheten, att en person omfattar den eller den religiösa åskådningen, ingått i den eller den religiösa sammanslutningen, icke kan få ha något avgörande inflytande, när det gäller att bedöma, huruvida han är skickad att fullgöra de värv, som skola föreläggas honom såsom sittande vid Konungens rådsbord. Nej, saken är nog den, att vad det här gäller är vad som betonades av Viktor Rydberg i denna kammare 1870, när man hade att slutbehandla konstitutionsutskottets memorial och av 1867. Det gäller frågan om religionsfrihet eller religionstvång, yttrades då, och det är också min bestämda övertygelse att så är fallet även nu. Jag vill särskilt säga gent emot herr Räf, när han förundrade sig över, att en samlad vänster här ställt sig på konstitutionsutskottets majoritets ständpunkt, att det är nog ingen tillfälligheternas lek, ty kravet på religionsfrihet har alltid varit ett av de stora förgrundskraven vid de stora demokratiska genombrotten i världen och vid de stora demokratiska revolutionerna. Det må sägas, att det är egendomligt, att man i detta land känner sig så upprörd, att man bildar medborgarförbund för supfrihetens bevarande med annex långt inne i första kammaren, men på samma gång icke har någon känsla för det enkla och rättmätiga krav, som heter religionsfrihet. Det</w:t>
        <w:br/>
        <w:br/>
        <w:t>är också min övertygelse, att denna kammares majoritet, som Ang. ändring i snart skall gå att slå vakt omkring den demokratiska friheten i $$ 4 och 25 detta land, när det gäller rösträtten, också skall veta att i deuna regeringsforfråga vara konsekvent och säga ifrån, så att det hörs över hela (Forts.) landet, att det gamla religionstvångets tid är förbi och att det | är på tid nu, att vi taga ett bestämt steg, låt vara att det är blygsamt, fram mot en vidgad religionsfrihet.</w:t>
        <w:br/>
        <w:br/>
        <w:t>Herr talman, jag ber att få yrka bifall till konstitutionsutskottets hemställan.</w:t>
      </w:r>
    </w:p>
    <w:p>
      <w:pPr>
        <w:pStyle w:val="Heading2"/>
      </w:pPr>
      <w:r>
        <w:t>2. Axel Sundberg (Lantmanna- och borgarepartiet inom andrakammaren, man)</w:t>
      </w:r>
    </w:p>
    <w:p>
      <w:r>
        <w:rPr>
          <w:b w:val="0"/>
        </w:rPr>
        <w:t>Eftersom jag haft äran att inom konstitutionsutskottet deltaga i detta ärendes behandling och därvid anslutit mig till den ena av reservationerna, skall Jag be att här få yttra nägra ord rörande detsamma.</w:t>
        <w:br/>
        <w:br/>
        <w:t>För de ifrågasatta grundlagsändringarna föreligga två motiv. Det ena motivet torde vara rent principiellt och inrikta sig på avskaffande av bekännelsetvånget. Det andra är åv mera praktisk beskatfenhet och avser att göra här ifrågavarande ämbeten och tjänster tillgängliga för en större krets medborgare, än vad nu är fallet.</w:t>
        <w:br/>
        <w:br/>
        <w:t>Vad nu först beträffar det sg. k. bekännelsetvånget, så ber jag att få erinra om de nu gällande bestämmelserna av förevarande slag, vilkas upphävande icke blivit ifrågasatt fran utskottets eller motionärernas sida. Det finns två sådana nu gällande bestämmelser. Den ena är bestämmelsen i 28 &amp; re eringstformen, som stadgar, att icke någon får innehava ämbete eller tjänst, som icke tillhör kristna trosläran eller den mosaiska. Den andra bestämmelsen återfinnes i kungliga förordningen den 31 okt. 1873 angående främmande trosbekännare. Enligt nämnda bestämmelse far utträde ur statskyrkan icke beviljas någon, med mindre han uppger, att han ämnar övergå till annan kristen troslära eller den mwsaiska. Härav följer, att, även om villkoren att tillhöra den rena evangeliska läran skulle upphöra i fråga om statsraden och lärarebefattningarna i kristendom och teologi, kommer likväl att för dessa betattningshavare kvarstå skyldighet att tillhöra kristen eller mosaisk trosbekännelse; härav inses ju ganska lätt, att den ifrågasatta grundlagsändringen i själva verket icke kan avskaffa något bekännelsetvång.</w:t>
        <w:br/>
        <w:br/>
        <w:t>Härförutom förtjänar det att erinras om, att vad som nu kallas bekännelsetvång i själva veiket icke är något sadant. Jag tror, att bekännelseklausulerna numera allmänt tolkas icke såsom bekännelsetvång utan endast såsom en fordran på medlemskap i svenska kyrkan, och för att vara medlem i svenska kyrkan fordras endast att vara kyrkskriven och icke ha lagligen anmält s:tt utträde därur eller offentligen manifesterat sig omfatta åsikter, som stå i strid med den evangelisk-lutherska bekännelsen. Man har således, ehuru man tillhör den svenska kyrkan, full juridisk</w:t>
        <w:br/>
        <w:br/>
        <w:t>icke omfatta någon alls.</w:t>
        <w:br/>
        <w:br/>
        <w:t>Det vill även synas, som om begagnandet av sådan frihet icke skulle åsamka samvetsbetänkligheter. Jag kan väl förstå, att vissa betänkligheter understundom kunna göra sig gällande hos lärare, som ha till uppgift att meddela undervisning i kristendom och teologi. Men icke blir väl hos sådana lärare betänkligheterna större, om de fortfara att tillhöra statskyrkan, än om de tillhöra en annan kristen trosbekännelse eller den mosaiska. Tvärtom synes det mig, som om samhörigheten med svenska kyrkan skulle skänka dessa lärare ökad trygghet i utövningen av deras kall vid undervisning i den evangelisk-lutherska läran. Jag kan i följd härav icke finna annat än att hela det föreliggande spörsmålet i denna del, d. v. s. bekännelsetvånget, är ett spörsmål egentligen om påvens skägg.</w:t>
        <w:br/>
        <w:br/>
        <w:t>Vad vidare angår det andra motivet, det så att säga mera praktiska, påstår man, att det skulle vara till praktisk nytta, om även andra än sådana, som tillhöra statskyrkan, skulle bli behöriga till statsrådsämbeten och till lärarebefattningar i kristendom och teologi. Utskottet gör särskilt gällande, att en fordran på tillhörighet till kyrkan leder därhän, att personer, som av samvetsbetänkligheter ”föranletts att utträda ur kyrkan, skulle försättas i en mindre gynnsam ställning än de, som ehuru helt främmande för kyrkans åskådning dock kvarstanna i densamma.</w:t>
        <w:br/>
        <w:br/>
        <w:t>Den nu ifrågasatta utvidgningen av behörighetsomradet för nu ifrågavarande befattningar omfattar emellertid, såsom jag förut antytt, endast andra kristna trosbekännelser och den mosai-ka. Enligt 1907 års dissenterskattekommittés utredning angående inom riket befintliga trosbekännare av detta slag, äro de följande: baptister, engelsk episkopala, fribaptister, s. k. heligianer, grekiskkatolska, katolsk-apostoliska, irwingianer, metodister, mosaiska trosbekännare, nya kyrkans bekännare, svedenborgare, reformerta, fransk-reformerta, romersk-katolska och sjundedagsadventister.</w:t>
        <w:br/>
        <w:br/>
        <w:t>Behörighet att vara statsråd och innehavare av tjänst, varmed följer skyldighet att undervisa i teologi och evangelisk-luthersk kristendom, skulle sålunda även, enligt utskottets förslag, tillkomma anhängare av dessa nu nämnda trosbekännelser. Jag för min del kan icke inse detta vara lämpligt.</w:t>
        <w:br/>
        <w:br/>
        <w:t>Särskilt vad beträffar lärarebefattningar, är det påtagligt, att betänkligheter måste resas mot en sädan utvidgning så länge statskyrkan ännu är beståndande — och därom behöver ju egentligen icke mycket ordas. Jag vill här blott särskilt citera några ord ur ett anförande vid 1913 års riksdag av professor Thyrén, en man, som väl icke kan beskyllas för bristande vidsynthet i sådana ting som dessa. Det var då särskilt fråga om teologie professorerna, och han yttrade därvid bl. a.: »Det är nämligen det, att denna teologiska fakultet, som må hava flera andra uppgifter och däribland naturligtvis även den, att utbilda vetenskapen genom författarverksamhet, dock har en uppgift, som för staten är den cen-</w:t>
        <w:br/>
        <w:br/>
        <w:t>trala och avgörande: den skall utbilda de män, som skola bliva präster i statskyrkan. Dessa personer, när de komma ut i sin verksamhet, äro underkastade en särskild strafflag: straff drabbar dem och ganska allvarliga sådana, t. o. m. avsättning, ifall de förkunna en lära, som avviker från svenska kyrkaus. Då stå vi inför en fråga. Kan det gå an, att staten skickar ut ämbetsmän, vilka under straffhot äro pliktiga att undervisa enligt en viss bekännelse, medan staten samtidigt låter dessa lärare i sin tur hava undervisats av andra lärare, vilka rakt icke äro underkastade — Jag vill icke tala om straffhot — men några som helst restriktioner? Kan man straffa lärjungen för att han säger detsamma som läraren lärt honom? Det förefaller mig upprörande, och det är då åtminstone en flagrant logisk motsägelse i detta, att staten är fullständigt passiv i fråga om vad de lärare lära, som utbilda prästerna, men ögonblickligen straffar prästen eller åtminstone håller straffhotet svävande över honom, ifall han icke håller sig till de bestämda positiva åsikterna. Detta förefaller mig såsom det rike, som söndrar sig självt, och den ståndpunkten får staten akta sig för.»</w:t>
        <w:br/>
        <w:br/>
        <w:t>Nu skulle jag till sist vilja framhålla en ganska märklig sak.</w:t>
        <w:br/>
        <w:br/>
        <w:t>I sin omsorg om bekännelsefriheten och den medborgerliga rättigheten att kunna bli statsråd och lärare i teologi och kristendom, ha både utskottet och motionärerna uteglömt en hel grupp medborgare, nämligen dem, som herr Möller kallar notoriska hedningar och av vilka han påstår, att statskyrkan vimlar. Dessa borde väl, enligt de principer, som hävdas från detta håll, också vara berättigade till bekännelsefrihet, d. v. s. frihet att utgå ur statskyrkan utan att angiva sin anslutning till någon bekännelse alls samt att likväl kunna godkännas såsom behöriga till ifrågavarande ämbeten och tjänster. Att konsekvensen bjuder detta är ju alldeles uppenbart.</w:t>
        <w:br/>
        <w:br/>
        <w:t>En utredning, om under vilka villkor det må tillåtas medlem av svenska kyrkan att utträda ur densamma utan avsikt att övergå till annat kyrkosamfund, beslöts också vid 1909 års riksdag, som herr Räf nyss nämnde, men den har ännu ej slutförts. Häri ligger just själva kardinalpunkten i spörsmålet rörande förhållandet mellan svenska kyrkans medlemmar, och svenska statens medlemmar, och det är uppenbart, att en utredning på denna punkt mäste vara slutförd, innan man kan inlåta sig på det spörsmål, varom här är fråga. Detta har också blivit erkänt från auktoritativt håll. Vid behandlingen av en så gott som likartad fråga under år 1913, yttrade, under åberopande av just denna 1909 ärs skrivelse nuvarande statsministern, herr Edén, angående skälen emot ett sådant förslag: »Det andra är det, som herr Lindhagen själv nämnde, nämligen att hela frågan om de medborgerliga rättigheter, som kunna tillkomma andra än medlemmar av svenska kyrkan, nu i alla händelser måste komma under en djupgående behandling. Genom riksdagens skrivelse av år 1909 är nämligen den frågan upptagen på sådant sätt, att riksdagen</w:t>
        <w:br/>
        <w:br/>
        <w:t>begärt en utredning om den rätt att deltaga i kommunala avgöranden, som bör tillkomma även dem, vilka utträtt ur svenska statskyrkan. Och det är att märka, att riksdagen här förutsätter, att ett sådant utträde skall få ske utan att vederbörande skall, såsom hittills varit fallet, vara skyldig att uppge annat kristet trossamfund, till vilket han ämnar övergå. Det är i synnerhet denna sist nämnda del av 1909 års skrivelse, som är av genomgripande betydelse för hela frågan om dissenters ställning i vårt samhälle. Ty om den skrivelsens yrkande genomföres, så kommer här att uppstå en kategori av svenska medborgare, som icke tillhöra den svenska kyrkan, men icke heller något annat av staten erkänt trossamfund, och även deras medborgerliga rättigheter måste då lagarna, och främst grundlagarna, taga hänsyn till. Med ett ord: hela problemet om vilka rättigheter, som tillkomiwa dem som lämna statskyrkan, måste tavas upp på nytt trån grunden och i mycket större omfattning än förut. Den lösning, som man då kommer att ge detta problem, måste givetvis inverka på rätten att bekläda ämbeten, även statsrådsämbetet.&gt; I detta yttrande instämde</w:t>
        <w:br/>
        <w:br/>
        <w:t>. också herr Branting, som för övrigt uttalade: »Det synes mig ostri-</w:t>
        <w:br/>
        <w:br/>
        <w:t>digt, såsom också nyss utvecklats av herr Edén att, när hela denna stora fråga om främmande trosbekännares ställning och rätt till utträde ur statskyrkan, utan att uppgiva något särskilt av staten erkänt kristet trossamfund, till vilket man vill övergå, på grund av 1909 års skrivelse från riksdagen kommer under Kungl. Maj:ts omprövning, såsom given konsekvens därav följer, att Kungl. Maj:t måste överväga, huru de nya förhallandena kunna komma att äterverka på olika områden och då även på det område, som är berört i denna motion.» Det var huvudsakligen dessa synpunkter, som föranledde, att de vid 1913 års riksdag väckta motionerna icke kunde bifallas.</w:t>
        <w:br/>
        <w:br/>
        <w:t>Herr talman, jag skall be att få yrka bifall till reservationen.</w:t>
      </w:r>
    </w:p>
    <w:p>
      <w:pPr>
        <w:pStyle w:val="Heading2"/>
      </w:pPr>
      <w:r>
        <w:t>3. unknown (–, –)</w:t>
      </w:r>
    </w:p>
    <w:p>
      <w:r>
        <w:rPr>
          <w:b w:val="0"/>
        </w:rPr>
        <w:t>På under diskussionen förekommen anledning måste jag verkligen fråga, vad som skulle återstå av $ 28 regeringsformen, därest en sådan ändring skulle komma till ständ, som utskottets skrivelse här går ut på. Det är icke gott att säga, ty sedan utskottets majoritet givit de amplaste vitsord åt de nu föreliggande motionerna, säger utskottet, att »det torde emellertid vara anledning att till övervägande även upptaga de övriga stadganden av ifrågavarande art, som innefattas i $ 28 regerimgsformen». Vad som sedan återstår förbundet med den evangeliska bekännelsen, vet ingen människa i närvarande stund.</w:t>
        <w:br/>
        <w:br/>
        <w:t>Herr Engberg sade här, att det icke skulle finnas religionsfrihet i vårt land. Jag tänker, att herr Engberg själv är det styvaste vittnesbördet på, att det verkligen finnes religionsfrihet i värt land, och då han säger, att det icke heller finnes forskningsfrihet här, tror jag likaledes, att han själv är ett mycket säkert bevis för, att det verkligen finnes sadan i vårt land.</w:t>
        <w:br/>
        <w:br/>
        <w:t>Vad de främmande trosbekännarna angår, utgöra de i själva</w:t>
        <w:br/>
        <w:br/>
        <w:t>verket ett mycket litet antal. Allt som allt belöpa de sig till Ang. ändring i knappast en halv procent av hela Sveriges befolkning, och vad SS 4 och 28 alla de övriga beträffar, vet jag icke annat, än att dessa ha den vegeringsforstörsta möjliga frihet. De ha frihet såsom fritänkare och frihet (Forts.) såsom kristna, och i denna deras frihet äger icke på något sätt</w:t>
        <w:br/>
        <w:br/>
        <w:t>Men en sak är att medge religionsfrihet, och en annan sak är, om kyrkan skall sätta dessa religionsfientliga människor till lärare för våra barn. Det är detta, som vi icke vilja tillåta, och det må väl ursäktas oss, om vi, som utgöra ungefär 99 !/2 procent av hela Sveriges befolkning och fortfarande vilja stå kvar i kyrkan, även vilja ha sådana lärare för våra barn, som lära i överensstämmelse med kyrkans läror.</w:t>
        <w:br/>
        <w:br/>
        <w:t>Det är icke blott inom :statskyrkan, som denna uppfattning</w:t>
        <w:br/>
        <w:br/>
        <w:t>gör sig gällande, utan den förefinnes även inom de fria evangeliska sammanslutningarna. Jag vill härvidlag särskilt erinra om svenska missionsförbundet. Detta har ju till den grad varit angeläget om, att de inom detsamma anställda lärarna skulle undervisa i överensstämmelse med den lära, som i allmänhet gör sis gällande inom detta förbund, att till och med deras allra framste man måste vika härom året, då han icke ansågs fylla detta krav. Huru skall det för övrigt vara tänkbart, att en kyrka, en statsreligion över huvud taget, skall kunna äga bestånd, om man skall ha lärare, som lära barnen och ungdomen tvärt emot vad samma religion, d. v. s. i detta fall kristendomen, innehåller? Räkna ut det den som kan!</w:t>
        <w:br/>
        <w:br/>
        <w:t>Jag vill ännu en gång betona, att det förvånar mig icke det ringaste, när sådana förslag som det nu föreliggande komma från socialdemokratiskt håll, eftersom man där vill ba bort statskyrkan.</w:t>
        <w:br/>
        <w:br/>
        <w:t>Det är flera sådana punkter i deras program, och om herrarna lä-</w:t>
        <w:br/>
        <w:br/>
        <w:t>sa dem, skola herrarna finna, att det förhåller sig så, som jag sä-</w:t>
        <w:br/>
        <w:br/>
        <w:t>ger, nämligen att de vilja ha bort kristendomen som statsreligion</w:t>
        <w:br/>
        <w:br/>
        <w:t>och i stället ha »religionsfrihet&gt;. Är det underligt, att man under dessa förhållanden kommer med förslag, sådana som framlagts i dessa motioner? Jag har aldrig ett ögonblick uttalat mig vare sig föraktfullt eller tvivlande beträffande den saken utan vad jag förvånar mig över är, det säger jag ännu en gång, att frikyrkliga och missionsvänner i vårt land kunna gå med på något dylikt. Och det kan icke gärna vara annat än ett för mig ofaictbart öde, som ligger i den saken inom riksdagen, att var och en, han må tillhöra vilket parti som helst, skall vara tjudrad inom det parti, där han har sitt hemvist: Herrarna veta, att när jag talar på detta sätt, så talar jag icke som en, den där handlar tvärt emot, utan jag har visat i riksdagen, att jag kan taga bestämt avstånd från även högerns partipolitik och dess ledare.</w:t>
        <w:br/>
        <w:br/>
        <w:t>Nu talar herr Engberg om någon annan betydelse av den bestämmelse, vari det heter, att Konungen skall vara av den rena evangeliska läran, än vad folk över huvud taget tänker sig. Emellertid förhåller det sig så, herr Engberg, att när man läser rege-</w:t>
        <w:br/>
        <w:br/>
        <w:t>ringsformens $ 2, så bör man läsa den rätt och icke som herr Engberg upplyser, att den bör läsas, utan som det verkligen står i regeringsformens 8 2. Och då vet folk, att Konungen är av den rena evangeliska läran, och det är ganska gott för folket. Det kan jag också försäkra herr Engberg, att folket önskar, att Konungen skall vara omgiven av rådgivare, som tillhöra denna lära. Huru skulle det se ut, om det socialdemokratiska partiet hela vägen upp igenom bestode av socialdemokrater men man omgav sig uppe i kransen av en massa högermän? Jag undrar, huruvida de, som tillhörde detta parti, skulle vara belåtna med ett sådant rådgivarskap. Så även med kyrkan.</w:t>
        <w:br/>
        <w:br/>
        <w:t>Nu säger herr Engberg, att vad man vill är att skaffa rum för den moderata teologien. Och i konstitutionsutskottets utlåtande talar man också om en friare riktning inom teologisk forskning och vetenskap. Då skall jag bara be att få relatera litet om vad socialdemokraterna mena med modern teologi, så få herrarna i Kammaren avgöra, huruvida det kan vara lämpligt att gå med</w:t>
        <w:br/>
        <w:br/>
        <w:t>ärpå.</w:t>
        <w:br/>
        <w:br/>
        <w:t>Jag har här med mig några artiklar, som utan reservation intagits 1 socialdemokraternas främsta organ i vårt land, nämligen Socialdemokraten, och dessa artiklar äro signerade av en teolog eller apologet, som tecknar sig A. E-g. Jag förmodar, att herr Artur Engberg känner litet till, vem denne person är. Här få vi höra, att det är den liberala teologiens obestridliga förtjänst att den påskyndat de kristna dogmernas förvittring. Författaren säger i otvetydiga ordalag: »Det är den liberala teologiens obestridliga förtjänst att med sin kritiska gärning ha påskyndat de kristna dogmernas förvittring». Och vilka dogmer är det? Jo, de centralaste, t. ex. »läran om Jesu gudom, hans uppståndelse» o. sv. Att dessa dogmer förvittras undan för undan är således något särdeles glädjande i motionärens ögon. Vidare talar han om att det icke längre är möjligt att »fasthålla vid Jesu historiska existens», eller, rättare uttryckt, han synes vara förnöjd över, att man icke längre tror sig kunna fasthålla vid läran om att Kristus ens existerat, d. v. s. författaren ger sig in på en linje, där detta historiska faktum förnekas. »Den dogmernas förvittringsprocess, varom det här är fråga, har uppenbarligen ännu icke avslutats», något som författaren tycker är rätt bra. När Jesu historiska existens redan håller på att uppgivas, så kunde det väl räcka till, herr Engberg. Nej, säger författaren, tvärtom kan man på goda grunder påpeka, »att endast en blygsam början är gjord&gt;. Var skall det då sluta?</w:t>
        <w:br/>
        <w:br/>
        <w:t>Sedan gläder sig författaren över att »även våra svenska teologer mer och mer påverkats av den liberala teologiens metoder och resultat» och särskilt tycker man, att ärkebiskop Söderblom får ett ganska ampert betyg av herr A. E-g. Han tror också, att det icke torde vara många teologer i Sveriges land, som »vilja bryta en lans för läran om Jesu uppståndelse, himmelsfärd», 0. d.</w:t>
        <w:br/>
        <w:br/>
        <w:t>Och så kommer författaren in på ett ämne, som tycks vara</w:t>
        <w:br/>
        <w:br/>
        <w:t xml:space="preserve">ett kardinalämne, och som inledes med »vad som är sant i Jena, är dåligt skämt i Heidelberg». Och därmed är han inne på det ämne, på vilket dessa motioner i allmänhet syfta. I förbigående vidröres den där ledsamma katekesen, som vågar utsäga, vad detta och detta är. Sedan är det förstås kyrkans herravälde över skolan, som är och i alla tider har varit det svåraste, som över huvud taget finnes. Och då kommer han till vad han anser vara synnerligen egendomligt, att en folkskollärare eller småskollärarinna icke får uttala sådana hädelser, som vissa professorer tillåta sig uttala i Tyskland och på andra håll i världen. Det skulle alltså vara tillatet att uttala en förnekelse av Kristi gudom icke blott i dessa utan även inom andra kretsar. En sådan förnekelse får ledsamt nog nu icke uttalas av en småskollärarinna inför våra små barn, ja, icke ens av en folkskollärare, utan skulle tvärtom innebära något straffbart i hans mun, då den uttalas för småpiltarna inne i skolan. Tycker verkligen herr Engberg själv, att det skulle vara trevligt, om dessa barn finge i sig något sådant i skolan? De komma hem till sin </w:t>
      </w:r>
      <w:r>
        <w:rPr>
          <w:b/>
        </w:rPr>
        <w:t>mamma²</w:t>
      </w:r>
      <w:r>
        <w:rPr>
          <w:b w:val="0"/>
        </w:rPr>
        <w:t xml:space="preserve"> som med dem läser bönen: »Gud som haver barnen kär, se till mig som liten ärb Då säga de, att </w:t>
      </w:r>
      <w:r>
        <w:rPr>
          <w:b/>
        </w:rPr>
        <w:t>lärarinnan³</w:t>
      </w:r>
      <w:r>
        <w:rPr>
          <w:b w:val="0"/>
        </w:rPr>
        <w:t xml:space="preserve"> sagt, att detta är bara dumheter. Var ha ni fått det ifrån, säger modern. Jo, det har visst stått i riksdagens protokoll t. o. m. Jag skulle önska, att </w:t>
      </w:r>
      <w:r>
        <w:rPr>
          <w:b/>
        </w:rPr>
        <w:t>hon²</w:t>
      </w:r>
      <w:r>
        <w:rPr>
          <w:b w:val="0"/>
        </w:rPr>
        <w:t xml:space="preserve"> ginge till författaren och frågade honom om vad som egentligen menas med ordet Gud när vi bedja »Gud som haver barnen kär» ”Tycka ni inte, att solen skulle sjunka i väster i Sveriges land den dag vi skulle få något sådant genomfört i våra skolor.</w:t>
        <w:br/>
        <w:br/>
        <w:t>: Författaren yttrar vidare, att det bör föras en »oförtruten kulturkamp med spetsen riktad mot statskyrkosystemet», som han anser vara ett svårt hinder för vad han åsyftar. Det är mycket bra att få reda på detta, och det gör, att jag nästan kommer att sätta större värde på statskyrkan än jag hittills gjort. Och jag vet, att det finnes flera personer, som varit motståndare till statskyrkan, men som på grund av dylika yttringar nödgats ställa sig mera på kyrkans sida än förut. Kanske skall kontraktsprosten bliva mera villig att efter detta giva mig intyg på att vara en ordentligare statskyrkoman, som han nog förut måst vägra.</w:t>
        <w:br/>
        <w:br/>
        <w:t>Men författaren anser sig icke endast böra uppträda som teolog utan — som det ju också anstår en teolog — som etisk författare. Han undersöker, om det finnes någon etik i den religionslösa staten och ger oss anvisning på den moral, som kan finnas i dessa nya förhållanden. Han börjar med: att »intet argument kan väl vara falskare» än »att folkmoralen behöver kristendomen till underlag» och att vi »utan kristendomen skulle gå en moralisk upplösning och nihilism till mötes... Han sätter sålunda icke något värde på kristendomen som moraliskt underlag. Vidare säger han förnöjsamt: »Största delen av Sveriges folk är i nuvarande stund avkristnad. Våra stora folkrörelsers idealism hämtar icke sin näring ur kristendomen.» Om detta skall vara idealism, så vet jag, att det icke är från kristendomen, som man fått den; man har kanske fått</w:t>
        <w:br/>
        <w:br/>
        <w:t>ny upplysning, som jag icke hört förr. Det säges nämligen: &gt;Nykterhetsrörelsens moraliska drivfjädrar äro icke att söka inom kris-. tendomens ram.» Om denna sats lagts fram för Peter Wieselgren undrar jag, om han icke skulle haft åtskilliga protester att avgiva; och han har likväl av nykterhetsrörelsens samtliga korporationer ansetts vara den främsta nykterhetskämpen i vårt land. Han har uträttat på några få år mera än nykterhetsvännerna under 50.</w:t>
        <w:br/>
        <w:br/>
        <w:t>Slutligen säger författaren: »Den fond av idealism, som kan och skall rädda oss undan mammonismens herravälde, har inga tillfölen från kristendomen.&gt; Och vidare: »De breda lag:ens avkristning har betytt deras vinnande för ex mänskligare och renare solidaritetskänsla.» Jag har icke tid att uppehålla mig vid detta utan skall övergå till det följande.</w:t>
        <w:br/>
        <w:br/>
        <w:t>Det har kanske varit överraskande för litet var bland oss att finna, att i det nya socialistiska samhället kristendomen skall få lov att vara en »privatsak»&gt;. Jag har nämligen icke kunnat förstå, huru det skulle gå till. Men WSocialdemokratens teologiske författare säger nu rent ut, att det icke heller är förenligt med det nya samhällets idealism och kultur att behandla kristendomen som en privatsak. Han säger: »En dylik hällning från socialdemokratins sida är endast ägnad att lämna fritt spelrum åt den kristliga småborgerligt-feodala jusuitismen.&gt; Ja, så karakteriseras de, som hysa den åsikten, att kristendomen endast skulle vara en privatsak. Han fortsätter: &gt;»Ingen tanke har väl varit Marx mera främmande än den, som på allvar innebär, att t. ex. religionen är en privatsak.&gt; Under sådana förhållanden tror jag, att det socialdemokratiska partiet får komma tillsammans snarast möjligt och få sin teolog med sig och söka omformulera programmet, så att det blir bättre eller också får man låta teologen och den etiske läraren giva en bättre uttolkning av programmet, ty antingen är dess program eller dess lärare något på sned.</w:t>
        <w:br/>
        <w:br/>
        <w:t>Vidare säges här, och det kan ju tjäna som slutkläm på det hela, om etiken och »privatsaken» i det socialistiska samhället:</w:t>
        <w:br/>
        <w:br/>
        <w:t xml:space="preserve">»Utifrån denna ståndpunkt i socialpedagogiken blir principen för vårt program för religionsundervisningen självklar. Den måste lyda: Bryt väg, målmedvetet och utan försagdhet för en fostran till den livsåskadning, som är socialismens, och bryt därför hänsynslöst ned ett religiöst uppfostringssystem, som blickat endast tillbaka så länge, att det liksom Lots </w:t>
      </w:r>
      <w:r>
        <w:rPr>
          <w:b/>
        </w:rPr>
        <w:t>hustru²</w:t>
      </w:r>
      <w:r>
        <w:rPr>
          <w:b w:val="0"/>
        </w:rPr>
        <w:t xml:space="preserve"> till sist förvandlats till en livlös saltstod!»</w:t>
        <w:br/>
        <w:br/>
        <w:t>Det kan väl hända, att dylika uttalanden icke äro avsedda för riksdagsdebatt, men så mycket mera för en stor och bland arbetare- IR vitt spridd tiduing. Jag är emellertid av en motsatt åsikt.</w:t>
        <w:br/>
        <w:br/>
        <w:t>Till slut skall jag be att få giva uttryck åt den förboppningen, att svcialisterna måtte så vitt möjligt komma att bliva ensamma om detta utskottsutlåtande, som här blivit framlagt, så att</w:t>
        <w:br/>
        <w:br/>
        <w:t>vi åtminstone någon gång måtte få bevittna något slags sammandng. ändring i</w:t>
        <w:br/>
        <w:br/>
        <w:t>hållning kring kristliga intressen. $d 4 och 26 Jag ber, herr talman, att fortfarande få yrka bifall till reregeringafor-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1385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