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1382</w:t>
      </w:r>
    </w:p>
    <w:p>
      <w:r>
        <w:rPr>
          <w:b/>
        </w:rPr>
        <w:t xml:space="preserve">Datum: </w:t>
      </w:r>
      <w:r>
        <w:t>1918-03-10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Hage (Socialdemokraterna, man)</w:t>
      </w:r>
    </w:p>
    <w:p>
      <w:r>
        <w:rPr>
          <w:b w:val="0"/>
        </w:rPr>
        <w:t>Herr talman, mina herrar! Jag kan icke underlåta att säga några ord vid behandlingen av detta utskottsutlåtande, alldenstund jag i denna fråga har väckt en motion, en enligt mitt förmenande så behjärtansvärd motion, att jag för min del tycker, att utskottet borde något litet ha tillgodosett densamma.</w:t>
        <w:br/>
        <w:br/>
        <w:t>Min motion gick ut på, att man samtidigt som man gav krigstidstillägg åt dessa pensionsberättigade änkor och barn, som det nu är fråga om, skulle givit ett dylikt tillägg även till «icke pensionsberättigade änkor och barn.</w:t>
        <w:br/>
        <w:br/>
        <w:t xml:space="preserve">Det förhåller sig ju så, som vi alla veta, att det i statens verk finnes vissa kategorier av statstjänare, som äro med i en </w:t>
      </w:r>
      <w:r>
        <w:rPr>
          <w:b/>
        </w:rPr>
        <w:t>änkeoch²</w:t>
      </w:r>
      <w:r>
        <w:rPr>
          <w:b w:val="0"/>
        </w:rPr>
        <w:t xml:space="preserve"> pupillkassa, och när de dö, få deras efterlevande någon pension från denna kassa. Detta är i allmänhet förhållandet med sådana tjänstemän, som äro ordinarie, men däremot icke med sådana som icke äro ordinarie. När dessa senare avlida, blir därför ställningen för deras efterlevande ganska bekymmersam, därför att de få i allmänhet icke någonting alls att leva på. Och dock kan man våga det bestämda påståendet, att dessa statstjänare, som ej varit medlemmar av en pensionskassa, ha under sitt liv i allmänhet utfört en fullt ut lika stor och nyttig gärning i statens tjänst som de andra befattningshavarna, vilka råkat vara ordinarie och därför varit med i en kassa, så att deras efterlevande fått pension. w</w:t>
        <w:br/>
        <w:br/>
        <w:t>Jag behöver bara taga ett enda litet exempel från statens järnvägar, fastän det naturligtvis skulle kunna förebringas en ofantlig massa exempel för att bevisa detta. Det finnes vid statens järnvägar vissa statstjänare, som kallas lokomotivreparatörer. De kunna bli ordinarie och deras änkor få i så fall pension och likaså deras barn. På grund härav komma alltså dessa ordinarie lokomotivreparatörers änkor och barn i åtnjutande av det anslag till krigstidstillägg, som här föreligga. Vidare finnes det på de stora verkstäderna vid statens järnvägar en annan tjänstegren, som sysselsätter tusentals personer. Det är verkstadsarbetarna, som på</w:t>
        <w:br/>
        <w:br/>
        <w:t>verkstaden utföra precis samma arbete, som dessa Jlokomotivreparatörer göra 1 lokomotivstallarna. Båda dessa befattningshavare syssla med att reparera järnvägens lokomotivpark, och skillnaden dem emellan är endast den, att den ordinarie lokomotivreparatören utför sitt arbete i lokomotivstallarna, under det att den andra gör sitt arbete på en verkstad.</w:t>
        <w:br/>
        <w:br/>
        <w:t xml:space="preserve">Nu kan det inträffa, att en sådan verkstadsarbetare, som jag syftar på, kanske har varit en 20 å 30 år anställd vid statens järnvägar, men hans </w:t>
      </w:r>
      <w:r>
        <w:rPr>
          <w:b/>
        </w:rPr>
        <w:t>änka²</w:t>
      </w:r>
      <w:r>
        <w:rPr>
          <w:b w:val="0"/>
        </w:rPr>
        <w:t xml:space="preserve"> och barn får ingen pension det oaktat och få följaktligen icke heller någon nytta av detta krigstidstillägg. En ordinarie lokomotivreparatör åter, som exempelvis varit anställd allenast två å tre år och alltså varit mycket kortare tid vid statens Järnvägar, hans </w:t>
      </w:r>
      <w:r>
        <w:rPr>
          <w:b/>
        </w:rPr>
        <w:t>änka²</w:t>
      </w:r>
      <w:r>
        <w:rPr>
          <w:b w:val="0"/>
        </w:rPr>
        <w:t xml:space="preserve"> och barn få däremot pension, och hans efterlevande få alltså åtnjuta den fördel, som här avses.</w:t>
        <w:br/>
        <w:br/>
        <w:t>Man skulle naturligtvis kunna visa, att motsvarande förhållanden föreligga beträffande den icke ordinarie personalen vid ofantligt många andra statens verk, och man kan våga det påståendet att dessa änkor och barn, som icke hava någon pension alls, hava ännu sämre ställt än de ordinarie efterlevande, som erhålla någon pension, även om den är liten och otillräcklig. Därför menar jag för min del, att det varit dubbelt nödvändigt att göra något, så att dessa änkor och barn, som icke alls ha någon pension, fått något gott av detta anslag, som här föreligger.</w:t>
        <w:br/>
        <w:br/>
        <w:t>Nu hade jag med anledning av detta fört fram en motion, däri Jag sökt åstadkomma vissa möjligheter för att även dessa befattpingshavares änkor och barn skulle få ett krigstidstillägg, vilket då borde bli lika stort som det staten skulle giva till de ordinarie befattningshavarnas änkor. De skulle naturligtvis icke få den pension, som de andra ha åstadkommit åt sig, genom att de betalt pensionsavgilter, men däremot borde de få lika mycket som statens tillskott till pensionerade änkor och barn i detta fall är.</w:t>
        <w:br/>
        <w:br/>
        <w:t>Emellertid har utskottet icke alls gjort något åt den saken. Utskottet har avstyrkt motionen. Inom parentes sagt får jag säga. att jag tycker, att det är ett egendomligt sätt, på vilket utskottet avstyrkt motionen. Eljest är det vanligt inom ett utskott, när en motion avstyrkes, att man anför några skäl varför så sker. Det är en god riksdagspraxis, att ett utskott förfar på det sättet, och jag undrar, om det icke står något i grundlagarna om den saken — det kan jag dock icke säga bestämt. Men meningen är väl, då ett utskott yttrar sig om en sak, att det skall förebringa skäl varför utskottet är med om saken eller icke. Så har icke skett i detta fall. och utskottet har icke med ett enda ord sagt, varför motionen blivit avstyrkt. . . ,</w:t>
        <w:br/>
        <w:br/>
        <w:t>Motionen är emellertid avstyrkt, och under sådana förhållanden kan jag naturligtvis icke göra något yrkande. Jag har i alla fall velat påtala saken, för den händelse regeringen möjligen skulle till nästa riksdag, då denna sak återkommer, vilja göra något åt frågan. Jag ser för övrigt en medlem av regeringen närvarande och vill då begagna tillfället att genom detta anförande framföra</w:t>
        <w:br/>
        <w:br/>
        <w:t>tillägg, ål per 4 kammaren skall kunna ge mig rätt i det påståendet. gade änkor Jag föreställer mig, att utskottet i denna mycket behjärtansoch barn efter värda sak åtminstone skulle kunnat begära en skrivelse till regebefattningsringen, om utskottet icke genast varit färdigt med saken. Jag sövärne tjäneh medger, att det icke är så lätt med avseende på detta att genast (Forts.) formulera en lagtext och. att mitt under löpande riksdagsarbete framkomma med ett förslag. Men nog kunde utskottet åstadkommit förslag till en skrivelse till regeringen. Och om utskottet icke velat vara med om detta, så kunde det väl, åtminstone i motiveringen, ha sagt, att detta är en mycket behjärtansvärd sak och att, om regeringen ville göra en utredning i saken, riksdagen med myc-</w:t>
        <w:br/>
        <w:br/>
        <w:t>Så har utskottet icke gjort, och jag anser mig därför icke kunna göra något yrkande, men har med detta yttrande här i kammaren velat för regeringen lägga fram denna mycket beaktansvärda sak, på det att regeringen möjligen skall kunna till nästa års riksdag göra en utredning i saken och då eventuellt lägga fram förslag till hjälp åt dessa människor, som det här är fråga om. 3 övrigt har jag icke annat yrkande än om bifall till utskottets förslag.</w:t>
      </w:r>
    </w:p>
    <w:p>
      <w:pPr>
        <w:pStyle w:val="Heading2"/>
      </w:pPr>
      <w:r>
        <w:t>2. Anders Johan Bärg (Socialdemokraterna, man)</w:t>
      </w:r>
    </w:p>
    <w:p>
      <w:r>
        <w:rPr>
          <w:b w:val="0"/>
        </w:rPr>
        <w:t>Det är alldeles klart, att var och en, som ömmar för sina fattiga medmänniskor, måste känna sig tilltalad av det syfte herr Hage här vill främja, och det är givet, att de änkor till befattningshavare i statens tjänst som icke erhålla något bidrag av staten, äro bringade i sämre ställning än de, som komma i åtnjutande av dylikt bidrag. Jag tror, att herr Hage och jag kunna vara alldeles överens om, att denna fråga är av beskaffenhet, att den bör uppmärksammas i allra högsta grad. Jag ville säga. att jag icke varit i tillfälle att deltaga i utskottets arbete vid den förberedande behandlingen av denna fråga och således icke heller kunnat förvissa mig om de skäl, som föresvävat utsko'tet vid beslutets fattande eller de skäl, som giort, att utskottet har så där tämligen snävt avspisat såväl herr Hages som min och min medmotionärs motion i denna fråga, men man torde finna, att utskottet i allmänhet varit mycket kort i sin motivering, och det är väl således en allmän kutym, som tagit sig uttryck även i detta fall.</w:t>
        <w:br/>
        <w:br/>
        <w:t>Då herr Hage så kraftigt bannar utskotte', att han till och med vill ställa utskottet till ansvar för grundlagsbrott. borde herr Hage själv beflitat sig om att i motiveringen till sin motion u'forma tankarna en liten smula bättre till ledning för utskottet. Själva yrkandet i motionen är ju, a't ett krigstidstillägg skulle utgå även till änkor och barn efter sådana befattningshavare, vilka varit anställda minst 15 år i statstiänst. Kammaren bör förstå, vilken ofantlig massa personer, vitt utspridda i riket, som det här gäller. Man måste först och främst göra klart för sig, hur långt bort i tiden man skall räkna med dessa förhållanden. Jag gissar, att herr Hage menar, att</w:t>
        <w:br/>
        <w:br/>
        <w:t xml:space="preserve">det även skulle gälla sådana änkor, vilka inträdde i </w:t>
      </w:r>
      <w:r>
        <w:rPr>
          <w:b/>
        </w:rPr>
        <w:t>änkeståndet²</w:t>
      </w:r>
      <w:r>
        <w:rPr>
          <w:b w:val="0"/>
        </w:rPr>
        <w:t xml:space="preserve"> för 20 eller 30 år tillbaka, och icke endast dem, som blivit änkor de sista åren. Då har det för utskottet gällt att skapa lagbhestämmelser, efter vilka vederbörande myndigheter skola utreda, hurudan statstjänst dessa änkors män hade för så lång tid sedan. Och när det är fråga om en massa befattningshavare i civil och militär tjänst med olika anställningsformer under växlande tider, framstår det för mig som något otänkbart, att ett särskilt utskott, som har att behandla frågan om krigstidstillägg för i statens tjänst anställda befattningshavare och deras pensionerade efterlevande, skulle vara färdigt att formulera bestämmelser, som famna hela detta område med alla dess detaljer. Det är icke lätt att utröna beträffande en person, som varit </w:t>
      </w:r>
      <w:r>
        <w:rPr>
          <w:b/>
        </w:rPr>
        <w:t>änka²</w:t>
      </w:r>
      <w:r>
        <w:rPr>
          <w:b w:val="0"/>
        </w:rPr>
        <w:t xml:space="preserve"> i 20 år, huruvida </w:t>
      </w:r>
      <w:r>
        <w:rPr>
          <w:b/>
        </w:rPr>
        <w:t>hennes²</w:t>
      </w:r>
      <w:r>
        <w:rPr>
          <w:b w:val="0"/>
        </w:rPr>
        <w:t xml:space="preserve"> man varit anställd på sådant sätt, att </w:t>
      </w:r>
      <w:r>
        <w:rPr>
          <w:b/>
        </w:rPr>
        <w:t>hon²</w:t>
      </w:r>
      <w:r>
        <w:rPr>
          <w:b w:val="0"/>
        </w:rPr>
        <w:t xml:space="preserve"> kunde anses berättigad att erhålla ett dylikt tillägg. Då man tänker sig djupare in i saken, står det klart, att det är för mycket begärt att i en handvändning lösa ett sådant problem, vilket herr Hage också medgivit.</w:t>
        <w:br/>
        <w:br/>
        <w:t xml:space="preserve">Vad man egentligen skulle kunnat uträtta är att föreslå en skrivelse till Kungl. Maj:t i denna fråga. Men jag tror icke, att molionären eller övriga, som sympatisera med denna tanke, äro betjänta med den saken, ty det är klart, att en utredning av problemet kommer att draga åtskillig tid. Man har redan igångsatt en utredning angående centralisering av de statsunderstödda pensionskassorna, och i den utredningen ingår ett förslag om beredande av pensioner åt änkor efter sådana statstjänare, som icke tillhöra </w:t>
      </w:r>
      <w:r>
        <w:rPr>
          <w:b/>
        </w:rPr>
        <w:t>änkeoch²</w:t>
      </w:r>
      <w:r>
        <w:rPr>
          <w:b w:val="0"/>
        </w:rPr>
        <w:t xml:space="preserve"> pupillkassan. Men även denna sak är så vittomfattande, att det icke går att hastigt få den ordnad. En skrivelse skulle i detta fall endast resultera i hemställan om ett provisorium, varigenom man skulle söka lösa spörsmål, som, efter vad jag har velat påvisa, äro synnerligen invecklade. Huruvida det vore möjligt för regeringen att på kort tid och på tillfredsställande sätt ordna denna fråga är jag icke viss om, och jag känner icke de skäl, som gjort, att utskottet icke reflekterat på en skrivelse i saken.</w:t>
        <w:br/>
        <w:br/>
        <w:t xml:space="preserve">Jag kan icke finna annat än att motionen ligger litet snett till. Syftar man till att bereda ifrågavarande tjänstinnehavares änkor en pension, som tryggar deras framtid, bör det vara en fristående fråga, som omfattar såväl pensioneringen som inrättande av </w:t>
      </w:r>
      <w:r>
        <w:rPr>
          <w:b/>
        </w:rPr>
        <w:t>änkeoch²</w:t>
      </w:r>
      <w:r>
        <w:rPr>
          <w:b w:val="0"/>
        </w:rPr>
        <w:t xml:space="preserve"> pupillkassor för dessa befattningshavare. Om den saken borde man förena sig för att söka driva fram den till lösning hastigare än annars kan bli fallet. Men det utskott, vars betänkande här föreligger, har fått begränsa sig till att syssla med sådana tjänstinnehavare. som redan ha pension och för vilka sålunda staten påtagit sio en viss försöriningsskyldighet. Att i samband därmed göra en utvidgning förefaller mig vara för mycket begärt, även om man sympatiserar med tanken att hjälpa dessa människor, vilka lida lika mycket av dyrtiden som andra, som icke varit anställda i statens tiänst. När man betänker de svårigheter, som här möta, bör man kunna finna, att det nog icke är utan skäl utskottet intagit den ståndpunkt, som det giort i denna fråga. Jag tror icke, att vi kunna komma längre i den här</w:t>
        <w:br/>
        <w:br/>
        <w:t>saken nu, utan jag inskränker mig till att yrka bifall till utskottets förslag, vilket jag härmed ber att få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