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294</w:t>
      </w:r>
    </w:p>
    <w:p>
      <w:r>
        <w:rPr>
          <w:b/>
        </w:rPr>
        <w:t xml:space="preserve">Datum: </w:t>
      </w:r>
      <w:r>
        <w:t>1918-05-11</w:t>
      </w:r>
    </w:p>
    <w:p>
      <w:r>
        <w:rPr>
          <w:b/>
        </w:rPr>
        <w:t xml:space="preserve">Kammare: </w:t>
      </w:r>
      <w:r>
        <w:t>Första kammaren</w:t>
      </w:r>
    </w:p>
    <w:p>
      <w:r>
        <w:rPr>
          <w:b/>
        </w:rPr>
        <w:t xml:space="preserve">Antal yttranden: </w:t>
      </w:r>
      <w:r>
        <w:t>11</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Halfred von Koch (–, man)</w:t>
      </w:r>
    </w:p>
    <w:p>
      <w:r>
        <w:rPr>
          <w:b w:val="0"/>
        </w:rPr>
        <w:t>Herr talman! Den nu föreliggande reformen berör ett mycket stort antal av vårt lands innebyggare, bortemot en fjärdedels miljon människor. Man har icke från dessa att vänta några demonstrationer eller petitioner i den fråga, som föreligger, men andra, som känna deras förhållanden, veta, att många rönt obehag och svårigheter under vår föråldrade och i många avseenden inhumana fattigvårdslagstiftning. Från deras sida, som det närmast gäller, torde man vara berättigad att säga, att denna reform hälsas med glädje och tacksamhet, ehuru de flesta icke haft tillfälle eller möjlighet att giva sina åsikter tillkänna. Jag tror, att det bästa man kan säga om detta förslag är, att detsamma med avseende å en human vård om de fattiga och lidande tillfredsställer ganska högt ställda anspråk. Det är en annan fråga, som under den offentliga debatten kanske mera kommit fram och diskuterats. Det är den, huruvida det tekniska förfarandet med avseende å fattigvårdens handhavande är i allo tillfredsställande. Därom kunna ju meningarna vara delade, men jag tror, att även här kan man i det stora hela med tillfredsställelse se på resultatet. För de många fattigvårdsstyrelserna, runt om i iandet, som ha att handlägga dessa stora och betydelsefulla frågor, är lagen av mycket stor betydelse. Den ger större möjlighet för fattigvårdsstyrelserna att tillfredsställande ordna fattigvården, men ställer också större krav på dessa myndigheter.</w:t>
        <w:br/>
        <w:br/>
        <w:t>Det är tydligt, att det nu föreliggande förslaget iär resultatet av ett djupgående och intresserat arbete, och i alla mera väsentliga punkter ha också de tillsporda myndigheterna givit sitt bifall tillkänna. Jag tror därför, att man kan säga, att det är med en viss grad av trygghet, som riksdagen kan gå och besluta i frågan. WVisserligen kan det vid första påseendet förefalla, att den nya lagstiftningen icke skiljer sig så mycket från den nuvarande, men</w:t>
        <w:br/>
        <w:br/>
        <w:t>Dagförelag om ju mera man tränger in i de torra lagparagraferna, desto klarare fattigvården. erfar man. att det är helt nya tankar och humana synpunkter, som</w:t>
        <w:br/>
        <w:br/>
        <w:t>trätt fram och gjort sig gällande. Man har icke allenast amputerat bort en del gamla missbildningar, som framträtt i vår fattigvårdslagstiftning. Man har lagt om hela vården av de fattiga efter nya och bättre principer, och det är ju stora och betydelsefulla reformer, som, om denna lag kommer att antagas, träda i kraft. Rätten till fattigvård har blivit erkänd och i samband därmed har ock besvärsrätten vunnit insteg i lagstiftningen. Själva rätten till den s. k. obligatoriska fattigvården har blivit högst väsentligt utvidgad. Från statens sida har skapats en kontrollerande myndighet, som skall upplysa om, hur fattigvården bör handhavas och beivra förekommande missförhållanden. Nya grunder för bidragen till fattigvården ha fastställts, i det man åstadkommit ett slags samarbete mellan staten, landstingen och kommunerna, varigenom de senares börda väsentligt lättats. Framför allt har man försökt att efter alldeles nya principer ordna fattigvårdens anstaltsfrågor, varigenom humanitetens fordringar i stort sett tillgodosetts.</w:t>
        <w:br/>
        <w:br/>
        <w:t>Om man nu emellertid kan glädjas över, att utskottet i det stora hela i de flesta av mig nyss berörda frågor stått enigt, så förekomma dock vissa ändringsförslag, gentemot K. M:ts proposition, som, om de godtagas av riksdagen, komma att rätt väsentligt minska hela fattigvårdsförslagets effektivitet och betydelse. Man har t. ex. föreslagit, att Kungl. Maj:ts förslag rörande minderårighetsåldern skulle förändras. Kungl. Maj:t har föreslagit en ålder av 16 år, men ett antal reservanter har velat sätta denna ålder till 15 år. Det bör härvid erinras att fattigvården är vår största barnafostrare. Det är bortåt 100,000 barn, som fattigvården har att taga hand om och skall giva sitt beskydd åt. Det spelar därför en ofantligt viktig roll, hur saken ordnas med avseende på denna åldersgräns. Om det är så, att Kungl. Maj:ts förslag går igenom, det som utskottet för övrigt stannat vid, har fattigvården givits möjlighet att lämna huld och skydd åt dessa barn ända till sexton års ålder, och den skulle även då få tillfälle att genom yrkesutbildning fostra dem till nyttiga samhällsmedlemmar. Enligt min uppfattning är detta en av de viktigaste reformerna i det föreliggande förslaget, och jag vill åtminstone uttala det önskemålet, att denna kammare, som nyss antagit en betydelsefull lagstiftning rörande fortsättningsoch lärlingsskolor i riket, även skall vara med om att fastställa den högre åldersgränsen.</w:t>
        <w:br/>
        <w:br/>
        <w:t xml:space="preserve">I ett annat avseende har Kungl. Maj:ts förslag inneburit en nyhet. Man har velat tillförsäkra fattigvården hjälp av </w:t>
      </w:r>
      <w:r>
        <w:rPr>
          <w:b/>
        </w:rPr>
        <w:t>kvinnorna¹</w:t>
      </w:r>
      <w:r>
        <w:rPr>
          <w:b w:val="0"/>
        </w:rPr>
        <w:t xml:space="preserve">, Man har velat ordna det så, att i varje fattigvårdsstyrelse i landet skulle åtminstone en </w:t>
      </w:r>
      <w:r>
        <w:rPr>
          <w:b/>
        </w:rPr>
        <w:t>kvinna¹</w:t>
      </w:r>
      <w:r>
        <w:rPr>
          <w:b w:val="0"/>
        </w:rPr>
        <w:t xml:space="preserve"> vara medlem av styrelsen och en </w:t>
      </w:r>
      <w:r>
        <w:rPr>
          <w:b/>
        </w:rPr>
        <w:t>kvinna¹</w:t>
      </w:r>
      <w:r>
        <w:rPr>
          <w:b w:val="0"/>
        </w:rPr>
        <w:t xml:space="preserve"> suppleant i densamma. Man har gjort detta ur synpunkten av. att det är betydelsefullt, att </w:t>
      </w:r>
      <w:r>
        <w:rPr>
          <w:b/>
        </w:rPr>
        <w:t>kvinnornas¹</w:t>
      </w:r>
      <w:r>
        <w:rPr>
          <w:b w:val="0"/>
        </w:rPr>
        <w:t xml:space="preserve"> sakkunskap och intresse i dessa frågor skola fullt och helt komma till sin rätt. Jag tror, att det är synnerligen önskvärt, att man står fast vid detta förslag och icke går med på förslaget att </w:t>
      </w:r>
      <w:r>
        <w:rPr>
          <w:b/>
        </w:rPr>
        <w:t>kvinnornas¹</w:t>
      </w:r>
      <w:r>
        <w:rPr>
          <w:b w:val="0"/>
        </w:rPr>
        <w:t xml:space="preserve"> inval i fattigvårdsstyrel-</w:t>
        <w:br/>
        <w:br/>
        <w:t>serna: blir en rent frivillig sak. önskvärdheten av, att den betydelsefulla nyhet, som innehålles i Kungl. Maj:ts förslag rörande möjligheten att lämna fattigvård utan ersättningsskyldighet mätte bibehållas i oförminskat skick. Reservanter ha föreslagit en högst väsentlig kringskärning i denna kommunernas rättighet att lämna fattigvård utan ersättningsskyldighet, men jag tror, att, om detta förslag vunne riksdagens erkännande, skulle ett av de medel, man försökt använda sig av för att höja fattigvården på ett högre plan, icke komma till sin rätt.</w:t>
        <w:br/>
        <w:br/>
        <w:t>Det blir tillfälle under debatten att närmare ingå på dessa olika saker. Jag vill blott nu tillkännagiva, att såvitt jag förstår, innebär Kungl. Maj:ts förslag ett slags minimiprogram, som man icke får beskära, såvida man vill. att fattigvårdslagen skall bliva tillfredsställande.</w:t>
        <w:br/>
        <w:br/>
        <w:t>I den nu föredragna punkten, $ 5, ha meningarna varit oanska skilda. Det framgår av de motioner, som väckts, däribland en, som framkommit i denna kammare, och däri det yrkats avslag på hela förslaget, därför att man i denna punkt icke gått den väg, motionären tänkt sig. Som kammaren torde finna, har Kungl. Maj:t ansett, att primärkommunen borde vara fattigvårdssamhälle, under det man på åtskilliga håll föreslagit, att landstingsområdet borde vara fattigvårdssamhället. Jag kan för min del icke anse, att denna sak är av den betydelse, att den skulle föranleda ett uppskjutande av hela denna frågas lösning till en oviss framtid. Det är så att vår femtioåriga fattigvårdslag är så bristfällig, att man icke står till svars med att låta den fungera längre. Den måste ersättas med en lagstiftning, som står i jämnhöjd med de sociala tankarna och den sociala utveckling, som under de sista årtiondena gjort sig gällande i vårt land. Det förhåller sig så, att om man uppskjuter denna frågas lösning, kanske flera år framåt, så avstannar det reformarbete, som man eljest hoppats skulle taga sin hörjan omedelbart efter den nya lagens antagande. Men jao vill säga, mina herrar, att även om dessa skäl icke förelåge, skulle jag knappast nu vilja vara med om en förnyad utredning om landstingsområdet såsom fattigvårdssamhälle. Jag tror, att man på de flesta håll står tämligen främmande för tanken, att landstingsområdet skulle utgöra ett enda fattigvårdssamhälle. Det är visser-</w:t>
        <w:br/>
        <w:br/>
        <w:t>ligen sant, att på många ställen förefaller den tanken ganska na-'</w:t>
        <w:br/>
        <w:br/>
        <w:t>turlig. På de ställen, där kommunerna äro små, såsom på Gottland, kan man tänka sig denna utveckling genomförd, men i Norrland med de stora socknarna och länen är tanken på landstingsområdet såsom fattigvårdssamhälle något, som man ännu icke börjat omfatta med intresse. Varför har då denna tanke på landstingsområdet såsom fattigvårdssamhälle uppstått? Det beror på, att i en del landsdelar, till exempel Gottland, Skaraborgs län och vissa trakter av Skåne, äro en hel del kommuner så små och i ekonomiskt hänseende så svaga, att de hava synnerligen svårt att kunna ordna sin fattigvård tillfredsställande. De måste sluta sig tillsammans, två eller flera, för att ordna fattigvården tillfredsställande. Det</w:t>
        <w:br/>
        <w:br/>
        <w:t>Och jag vill till sist framhålla Lagförslag om</w:t>
        <w:br/>
        <w:br/>
        <w:t>Dagförskag om är ju föreslaget, att en sådan möjlighet för kommunerna att sluta fattigvården. sig tillsammans skulle finnas, dock endast om kommunerna frivil-</w:t>
        <w:br/>
        <w:br/>
        <w:t>ligt ingå en förening för detta ändamål. Denna frivilliga förening är dock icke tillräcklig. Försåvitt jag förstår, måste det finnas möjlighet att tvångsvis åstadkomma större fattigvårdssamhällen, och en sådan möjlighet erbjuder sig i det förslag, som framlagts av kommittén för kommunala nybildningar. Det är synnerligen önskligt enligt min tanke, att detta förslag snarast möjligt måtte komma under riksdagens prövning och eventuellt leda till ett resultat, ty förrän man får denna möjlighet att även tvångsvis få kommuner sammanslagna för fattigvårdsoch andra ändamål, tror jag icke, att man kan på alla håll ordna fattigvården tillfredsstälande.</w:t>
        <w:br/>
        <w:br/>
        <w:t>Men det är även på annat sätt man vill råda bot på de olägenheter, som uppstå, därigenom att kommunerna äro alltför små och svaga. Förslaget sådant det nu föreligger innehåller bland annat, att en hel del av den s. k. specialvården, vården av sjuka och abnorma m. fl., skulle omhändertagas av landstingen eller åtminstone bekostas av desamma. Härigenom minskas i hög grad kostnaderna för de skilda kommunernas fattigvård. Dessutom har utskottet, såsom kammaren behagade finna, hemställt om en skrivelse, däri det begänes utredning om möjligheten att genom statens försorg få en utjämning av de kommunala skattebördorna till stånd för de skilda kommunerna.</w:t>
        <w:br/>
        <w:br/>
        <w:t>Av vad jag sagt torde kammaren finna, att jag anser, att frågan är mogen för lösning och att man icke skall uppskjuta densamma. Men jag kan icke vara med om den motivering, som utskottet använt sig av, när det avstyrkt tanken på landstingsområdet såsom fattigvårdssamhälle. Jag tror det icke vara omöjligt, att man i en framtid kommer därhän, tvingas därhän att göra landstingsområdet till fattigvårdssamhälle, och det är ingen anledning att nu på förhand förklara, att denna utveckling är fullkomligt omöjlig. Jag har jämte några medlemmar i utskottet utvecklat mina tankar i en särskild reservation, men har kommit till samma slut som utskottet på denna punkten, och jag anser, att förslaget i sin helhet bör antagas. Jag vill till slut säga, att jag icke kan vara med om den reservation, som är intagen vid betänkandet och är författad av herrar Källman och Olsson i Ramsta. Där hemställes om en skrivelse till Kungl. Maj:t rörande utredning om större fattigvårdssamhällen, eventuellt omfattande hela landstingsområden. Om detta skrivelseförslag godkännes, skulle det i realiteten bliva detsamma som om hela fattigvårdsfrågan uppskötes på nytt, ty det är tydligt, att så länge det icke föreligger en utredning om landstingsområdet såsom fattigvårdssamhälle, ha de skilda kommunerna icke något intresse att påskynda omorganisationen och uppföra anstalter o. s. v. De komma helt enkelt att vänta, tills utredningen är klar, och det är naturligt, att de så komma att göra.</w:t>
        <w:br/>
        <w:br/>
        <w:t>Herr talman! Då jag nu önskar, att reformen snarast möj-</w:t>
        <w:br/>
        <w:br/>
        <w:t>ligt skall bliva genomförd, och då jag tror, att primärkommunen Lagförslag om i regel bör vara fattigvårdssamhälle, så är det tydligt, att jag icke fattigvården. kan komma till annat resultat än att i denna punkt yrka bifall (Forts.) till utskottets förslag.</w:t>
      </w:r>
    </w:p>
    <w:p>
      <w:pPr>
        <w:pStyle w:val="Heading2"/>
      </w:pPr>
      <w:r>
        <w:t>2. Axel Schotte (Liberala samlingspartiet, man)</w:t>
      </w:r>
    </w:p>
    <w:p>
      <w:r>
        <w:rPr>
          <w:b w:val="0"/>
        </w:rPr>
        <w:t>Herr talman, mina herrar! Först ber jag att få uttala mitt vördsamma tack till utskottet för den välvilja, varmed utskottet behandlat den nu föreliggande propositionen. Det ger förhoppning om, att även om givet är, att kamrarna komma att i vissa punkter stanna i olika meningar, dock slutligen genom sammanjämkning, varigenom eftergifter ske på ömse sidor, skall såsom resultat vinnas en ny, mera humaniserad fattigvårdslagstiftning. Det är visserligen icke några revolutionerande nyheter, det här är fråga om, men lagförslaget företer dock i många avseenden i jämförelse med den nu gällande lagstiftningen stora förbättringar, särskilt i humanitär riktning, och det är uppenbart, att det är en grund, som man kan bygga vidare på för att komma längre och till en socialt sett mera tillfredsställande fattigvård.</w:t>
        <w:br/>
        <w:br/>
        <w:t>I den föreliggande punkten skall jag tillåta mig säga några ord, ehuru jag i det hela kan ansluta mig till den föregående talarens anförande. Det är alldeles otvivelaktigt, att det på flera håll skall möta vissa svårigheter att ordna fattigvården på ett tillfredsställande sätt för kommunerna i följd av vissa kommuners ringa bärkraft och folkmängd. Det är därför synnerligen önskvärt, att åtgärder vidtagas för att detta förhållande ej måtte menligt inverka på fattigvårdsväsendet. Förslaget har ju också i detta avseende infört många och nya förbättringar.</w:t>
        <w:br/>
        <w:br/>
        <w:t>Under behandlingen av fattigvårdsreformen har bland annat yrkande framkommit, att staten skulle övertaga fattigvården, särskilt då närmast bestrida fattigvårdskostnaderna, men, föreställer jag mig, överlämna åt mindre korporationer, det må vara kommuner eller landsting, att handha bestyret med fattigvården. Jag tror för min del, att det icke är tänkbart att komma, fram på den ' vägen. Jag tror, att det förslag, som föreligger och som innebär, att staten skall giva ökade anslag — och staten kommer givetvis ännu mera i framtiden att se till att lämna en bispringande hand. där det behövs — är den enda väg, som är framkomlig. Det skulle eljest kunna behöva skapas ett helt nytt ämbetsverk och en hel stab av personer, som skulle övervaka fattigvården. Jag tror. att detta ur rent organisatorisk synpunkt bleve omöjligt.</w:t>
        <w:br/>
        <w:br/>
        <w:t>: Med avseende på tanken på landstingsområdets övertagande av fattigvården är det åtskilliga skäl, som tala därför. «De skälen äro desamma som över huvud taget tala för att skapa större fattigvårdssamhällen, nämligen den ringa bärkraften hos kommunerna och svårigheterna för dem satt fullgöra sina förpliktelser med avseende å ålderdomshem 0. s. v., som skulle åläggas dem enligt den nya lagstiftningen. Det skulle också bli en bättre utjämning än eljest med avseende på fattigvårdstungan kommunerna emellan,</w:t>
        <w:br/>
        <w:br/>
        <w:t>vilken skulle vara mycket behövlig för många hårt belastade kommuner. Men det är så, att det är icke bara fattigvårdsutgifterna, som tynga i kommunerna och förorsaka ojämnhet i den kommunala budgeten. Det är utgifter för många andra ändamål också. Det är icke möjligt att allenast se på dessa fattigvårdsutgifter och behandla dem fristående för sig. Det har också utskottet erkänt, genom att utskottet hemställt om en skrivelse till Kungl. Maj:t om utredning angående en allmän utjämning av de kommunala utgifterna. Jag tror emellertid, att det är vissa betänkligheter mot att godtaga landstingsområdet såsom fattigvårdssamhälle. Det kommer med avseende på den öppna fattigvården att medföra svårigheter. I det hela bliva invändningarna ungefär desamma mot landstingen såsom fattigvårdssamhällen som mot statens övertagande av fattigvården, ehuru graden av deras vikt är något mindre i förra fallet. Det fordras jämväl för landstingen kontroll och tjänstemän för att utöva den. Jag tror även, att beträffande den slutna fattigvården åtskilliga betänkligheter skulle uppstå, om fattigvården övertoges och handhades av landstingen. Det bleve sannolikt i stället för de smärre ålderdomshemmen i orterna en eller ett par stora, kasärnliknande anstalter, som icke kunna medge samma relativa trevnad, som är möjlig i ålderdomshem, upprättade i de olika orterna och vilka genom förevarande lagstiftning skulle göras obligatoriska. Men även om jag frånger den slutna fattigvårdens uppgifter, är jag något betänksam över huvud mot detta belastande av landsting med nya uppgifter. Det är tydligt, att det för närvarande är mycket modernt att vilja belasta landstingen med uppgifter i det ena eller andra avseendet, och det är uppenbart av åtskillig betydelse i utjämningsavseende. Men landstingsskatten har på många håll stigit så avsevärt, att det kommer att möta åtskiliga svårigheter att pålägga landstingen ytterligare uppgifter för ändamål, som komma att medföra stora utgifter. Det är nog också så, att man kan befara, att den huvuduppgift, som landstingen hava, kan komma att i någon mån lida skada, om man lägger på landstingen för många och i det väsentliga hittills främmande uppgifter. Man har ju redan nu stora anspråk med avseende å nybyggnader för sjukhus och lasarett, och de komma med varje år att stegras. Man har tillika ett synnerligen viktigt ändamål, som icke kunnat lösas helt i denna fattigvårdslag, men varom i allt fall antydningar givas, nämligen om vården av kroniskt sjuka. Det är givet, att det ligger närmast till hands att detta blir en landstingets uppgift. Jag föreställer mig också, att det är åtminstone säkrare att fortgå på den väg, som man i propositionen slagit in på, nämligen att landstinget övertager vissa delar av fattigvården och söker utveckla den på ett med de sociala och tidsförhållandena överensstämmande sätt. Det hindrar naturligtvis icke, att man kan överväga en än vidsträcktare skyldighet i detta avseende för landstingen, och jag föreställer mig, att den utredning, som kommer att ske i anledning av de skrivelser, som utskottet föreslagit, knappast kan läggas så, att den icke även kommer att tangera spörsmålet,</w:t>
        <w:br/>
        <w:br/>
        <w:t>huruvida icke ytterligare fattigvård kan åläggas landstingen så- Lagförslag om som en obligatorisk uppgift. Vad mig beträffar skall jag icke på fattigvården. något sätt underlåta att sträva efter att giva dessa uppdrag en (Forts) sådan vidd, att inom rimliga gränser även landstingens ökade uppgifter på detta område kunna komma till beaktande. Men jag tror, att det vore oklokt att låsa fast detta på sätt som sker i herr Kill. mans m. fl. vid betänkandet fogade reservation i denna del, där man ganska starkt slår ned på att landstingen i själva verket böra såsom fattigvårdssamhälle efterträda de nuvarande små fattigvårdssamhällena, primärkommunerna. Till vinnande av större och bärkraftigare fattigvårdssamhällen finnes även en tredje väg, som i det hela synes mig säkrare framkomlig, den vägen nämligen, att tvångsvis kunna sammansluta flera kommuner i fattigvårdshänseende, vartill möjlighet gives genom det nyss avgivna förslaget till lagstiftning om kommunala nybildningar. Då propositionen om fattigvårdslagen framlades, hade denna kommittés betänkande ännu icke avgivits och man hade därför ingen annan väg att gå än att lita till att genom frivilliga sammanslutningar de allra minsta kommunerna skulle förena sig till enheter i fattigvårdshänseende. Härigenom skulle man undgå de starkaste olägenheterna av anordningen med de små fattigvårdssamhällena. Men när nu kommitténs nämnda förslag föreligger och ger ökade möjligheter att i fattigvårdshänseende sammanslå olika kommuner, föreställer jag mig att den utvägen kommer att anlitas och ytterligare utvecklas med de riktlinjer i avseende på förändringar av fattigvårdssamhällena, som bliva en följd av de skrivelser utskottet här förordat. Det nämnda betänkandet har redan remitterats ut för yttranden och det är att förmoda att redan nästa år ett förslag till lagstiftning om kommunala nybildningar skall kunna föreläggas riksdagen. I utlandet har man exempelvis flerstädes dessa s. k. Zweckverbande, vilka kommit till, där förhållandena göra det önskvärt, att gemensamhetsintresset i vissa avseenden sträcker sig över den vanliga kommunens gräns.</w:t>
        <w:br/>
        <w:br/>
        <w:t>Det kan synas, som om det är skäligen likgiltigt, om kammaren följer utskottets eller reservanternas förslag, ty det blir i allt fall så, att man framdeles får vidare skärskåda den frågan, huruvida landstingens medverkan i fattigvårdsavseende kan utsträckas. Jag tror dock att det är övervägande skäl för kammaren att icke frångå utskottets fönslag, vilket i första hand går ut på, att den utväg till vinnande av större och bärkraftigare fattigvårdssamhällen, som främst skall undersökas, just är frågan om kommunala nybildningar för fattigvårdsändamål.</w:t>
      </w:r>
    </w:p>
    <w:p>
      <w:pPr>
        <w:pStyle w:val="Heading2"/>
      </w:pPr>
      <w:r>
        <w:t>3. Fredrik Ström (Socialdemokraterna, man)</w:t>
      </w:r>
    </w:p>
    <w:p>
      <w:r>
        <w:rPr>
          <w:b w:val="0"/>
        </w:rPr>
        <w:t>Jag kan icke såsom de båda föregående talarna uttala någon tillfredsställelse med det förslag som här föreligger.</w:t>
        <w:br/>
        <w:br/>
        <w:t>Det föreligger en motion, däri påyrkas en ändring av själva namnet fattigvård, vilket man skulle utbyta mot ett annat: för-</w:t>
        <w:br/>
        <w:br/>
        <w:t>vården av de fattiga i samhället. Det har i stort sett icke varit en vård av de fattiga utan en vanvård, och detta har också tagit sig uttryck däri, att överallt vart man kommer, det må vara på landet eller i städerna, finns det ingenting för vilket de fattiga och gamla hava en mera panisk förskräckelse än för att komma på fattigvården, »komma på socknen». Nu hade man tänkt sig — och utskottet uttalar ju i sin motivering den förhoppningen — att icke längre blott vanvård utan även vård av de fattiga skulle komma att äga rum. Det vore verkligen på tiden. Jag kan för min del dock icke finna att det med föreliggande förslag kan bli några socialt sett verkligt avgörande förbättringar. Jag skall villigt erkänna, att det finns tekniska förbättringar i förslaget, men sociala förbättringar får man leta efter utom på ett par punkter. Hela detta förslag synes mig vara ett typiskt exempel på den halvhetens politik, som kännetecknar den nuvarande regeringen, en halvhetens politik som alldeles säkert en gång kommer att beröva denna regering folkets förtroende. Det finns icke någon verklig tanke på att nu lyfta upp fattigvården från dess gamla försumpning och till en verkligt social, samhälleligt stor betydelse och uppgift.</w:t>
        <w:br/>
        <w:br/>
        <w:t>Jag skall taga några exempel, som belysa huru till och med mycket små krav på förbättringar av utskottet eller dess majoritet mötts med avstyrkan.</w:t>
        <w:br/>
        <w:br/>
        <w:t xml:space="preserve">Här finnes en motion, däri kräves att bestämmelse om </w:t>
      </w:r>
      <w:r>
        <w:rPr>
          <w:b/>
        </w:rPr>
        <w:t>hustrus²</w:t>
      </w:r>
      <w:r>
        <w:rPr>
          <w:b w:val="0"/>
        </w:rPr>
        <w:t xml:space="preserve"> försörjningsplikt gent emot mannen måtte borttagas, ett krav som synes mig så rättvist som intet annat. Utskottet finner emellertid vatt det icke är möjligt att gå detta krav till mötes. Utskottet säger utan någon egentligen uttömmande motivering, att utskottet finner detta icke vara berättigat.</w:t>
        <w:br/>
        <w:br/>
        <w:t xml:space="preserve">Här föreligger också en annan motion, som kräver förbud mot att vid utackordering åtskilja man och </w:t>
      </w:r>
      <w:r>
        <w:rPr>
          <w:b/>
        </w:rPr>
        <w:t>hustru²</w:t>
      </w:r>
      <w:r>
        <w:rPr>
          <w:b w:val="0"/>
        </w:rPr>
        <w:t xml:space="preserve">, </w:t>
      </w:r>
      <w:r>
        <w:rPr>
          <w:b/>
        </w:rPr>
        <w:t>moder²</w:t>
      </w:r>
      <w:r>
        <w:rPr>
          <w:b w:val="0"/>
        </w:rPr>
        <w:t xml:space="preserve"> och barn samt syskon. Utskottet finner sig icke kunna tillstyrka införande i lagen av ett stadgande av angivna innehåll. Detta krav i motionen synes mig så utomordentligt billigt ur humanitär synpunkt, att det borde kunna tillmötesgås, men så har icke skett.</w:t>
        <w:br/>
        <w:br/>
        <w:t>Det finnes ännu en annan motion, av innehåll att makar icke skola få skiljas åt utan äga rätt att bo tillsammans å fattigvårdsanstalten, men utskottet finner »det innebära vissa betänkligheter att fastslå en bestämd rätt för äkta makar att under alla förhållanden få bo tillsammans å anstalt och har därför ej kunnat tillstyrka det i motionen härom framställda yrkandet». Jag kan icke finna annat än att ett sådant krav är synnerligen billigt.</w:t>
        <w:br/>
        <w:br/>
        <w:t>Jämväl har ett krav avstyrkts, som jag finner vara kanske det viktigaste av de krav, som väckts i motionsform, nämligen kravet, som framställts i en motion av herr Karlsson i Sandviken m. fl., att bestämmelsen om understödstagares återbetalningsskyldighet av erhållet understöd måtte utgå och att understödstagaren borde få den hjälp som behövdes, utan att han skulle vara tvungen att åter-</w:t>
        <w:br/>
        <w:br/>
        <w:t>betala den. Denna återbetalningsskyldighet har icke för samhil- Lagförslag om let någon betydelse, då en utredning har visat, att under år 1907 fattigvården. ; — det utredningsår som man haft att räkna med — inom hela (Forts) landet influtit som ersättning av understödstagare för lämnad fat-</w:t>
        <w:br/>
        <w:br/>
        <w:t>tigvård tillsammans 17/; Z av kommunernas hela utgiftssumma för fattigvården. Utskottet har måst erkänna, att såsom motionärerna</w:t>
        <w:br/>
        <w:br/>
        <w:t>anfört denna understödstagares skyldighet att ersätta fattigvården</w:t>
        <w:br/>
        <w:br/>
        <w:t>ej är av någon större ekonomisk betydelse för fattigvårdssamhället.</w:t>
        <w:br/>
        <w:br/>
        <w:t>Men här blir utskottet, som eljest icke är så principiellt av sig,</w:t>
        <w:br/>
        <w:br/>
        <w:t>med en gång en utomordentlig anhängare av en princip, och säger</w:t>
        <w:br/>
        <w:br/>
        <w:t>att »ur principiell synpunkt har ett dylikt stadgande en betydelse,</w:t>
        <w:br/>
        <w:br/>
        <w:t>som ej bör underskattas». Det är hela motiveringen som bestås</w:t>
        <w:br/>
        <w:br/>
        <w:t>för att avstyrka denna rimliga begäran. Jag måste verkligen sä-</w:t>
        <w:br/>
        <w:br/>
        <w:t>ga, att då man ser, huru på detta sätt billiga och rättfärdiga hu-</w:t>
        <w:br/>
        <w:br/>
        <w:t>manitära krav avfärdas, finner man huru ofantligt omöjligt det i</w:t>
        <w:br/>
        <w:br/>
        <w:t>själva verket är att i detta land komma någon vart med reformer</w:t>
        <w:br/>
        <w:br/>
        <w:t>Jag måste också säga. att ehuru jag finner att kravet på större fattigvårdssamhällen icke har den humanitära betydelse som många andra krav äga, har det dock även det en viss betydelse, i det att det innebär, att man skulle frigöra kommunerna från att vara de primära organen för fattigvårdens upprätthållande och lägga dem på starkare skuldror samt därigenom ernå en för de fattiga kommunerna lättare anordning samt bättre möjlighet att verkligen utöva en fattigvård, som icke är fattigvård endast till namnet. Men även detta förslag har i utskottet icke vunnit något gehör.</w:t>
        <w:br/>
        <w:br/>
        <w:t>Som en följd väl närmast av ersättningsskyldighetens bibehållande kvarstår även, efter vad jag kan förstå, helt och fullt det gamla förhatliga fattigvårdsstrecket ur politisk synpunkt. Regeringen har icke samtidigt framlagt förslag, som skulle taga bort detta fattigvårdsstreck, vilket väl ändå hade varit riktigt, ty det är just detta fattigvårdsstreck som i så hög grad gör fattigvården impopulär och sätter en ur medborgerlig synpunkt mindervärdig stämpel på dem, som tvingas att anlita fattigvården.</w:t>
        <w:br/>
        <w:br/>
        <w:t>Allt som allt finner jag, att hela detta förslag, även om det på vissa punkter har några obetydliga förtjänster, dock betyder ett så ringa framsteg och har sådana ofantliga luckor, att jag är övertygad om att det vore bättre att hela förslaget fölle. Och om någon tid, då en starkare folkvilja kunnat göra sig gällande i riksdagen, kunde ett nytt förslag framläggas, som skulle kunna föra till bättre resultat. Jag tror att detta vore fördelaktigast för folket även om de fattiga i samhället ännu något år finge dragas med de gamla förhållandena.</w:t>
        <w:br/>
        <w:br/>
        <w:t>Såsom uttryck för denna min uppfattning och som en gensaga mot den halvhet, som präglar utskottets utlåtande, skall jag, herr talman. be att få yrka avslag. a</w:t>
        <w:br/>
        <w:br/>
        <w:t>Fattigvård, som här avses, omfattar det underhåll och den vård, som äro erforderliga, samt för minderårig jämväl uppfostran.</w:t>
        <w:br/>
        <w:br/>
        <w:t>På grund härav hemställa vi, att förevarande åldersgräns måtte bestämmas till 15 år.»</w:t>
      </w:r>
    </w:p>
    <w:p>
      <w:pPr>
        <w:pStyle w:val="Heading2"/>
      </w:pPr>
      <w:r>
        <w:t>4. Anders Antonsson (Liberala samlingspartiet, man)</w:t>
      </w:r>
    </w:p>
    <w:p>
      <w:r>
        <w:rPr>
          <w:b w:val="0"/>
        </w:rPr>
        <w:t>Herr greve och talman, mina herrar! Vid denna paragraf har jag jämte tre ledamöter från denna kammare och en från andra kammaren anmält reservation. Det är nämligen så, att kommittén, som under en följd av år studerat fattigvårdsfrågan och slutligen framkommit med förslag till lagstiftning i ämnet, ansett att minderårighetsgränsen skulle sättas till 15 år. Kungl. Maj:t</w:t>
        <w:br/>
        <w:br/>
        <w:t xml:space="preserve">har 1 sin proposition diremot föreslagit 16 år. Erfarenheten har visat att </w:t>
      </w:r>
      <w:r>
        <w:rPr>
          <w:b/>
        </w:rPr>
        <w:t>flickor²</w:t>
      </w:r>
      <w:r>
        <w:rPr>
          <w:b w:val="0"/>
        </w:rPr>
        <w:t xml:space="preserve"> och gossar på landsbygden, vilkas uppfostran är föremål för fattigvårdens omvårdnad städernas fattigvårdsstyrelser utackordera med förkärlek jämväl sina fosterbarn på landsbygden — oftast är i den ställningen, att de vid fyllda 15 år kunna försörja sig själva. Jag är emellertid villig medgiva, att undantag och icke så få sådana finnas, då dessa ynglingar och </w:t>
      </w:r>
      <w:r>
        <w:rPr>
          <w:b/>
        </w:rPr>
        <w:t>flickor²</w:t>
      </w:r>
      <w:r>
        <w:rPr>
          <w:b w:val="0"/>
        </w:rPr>
        <w:t xml:space="preserve"> någon tid efter fyllda 15 år äro i behov av vård och underhåll. Men i den föreliggande lagen har man icke förbisett föreskriva huru fattigvårdsstyrelse i så fall skall förhålla sig. Det heter nämligen i 8 36: »Då minderårig, som av fatligvårdsstyrelsen omhändertagits, hunnit den ålder samt nått den utveckling och stadga, att han kan anses i stånd att försörja sig, har styrelsen att söka bereda honom lämplig tjänst eller anställning samt tillse att han erhåller nödig utrustning.» Det är tydligt, att den paragrafen tillkommit därför att sådana minderåriga, som vid fyllda 15 år äro i kroppsligt eller andligt avseende så föga utvecklade, att de fortfarande behöva omvårdnad, är fattigvårdsstyrelse skyldig att sörja för att sådan lämnas. I en senare paragraf, $ 77, föreskrives det vidare att fattigvårdsstyrelse är skyldig att följa sina skyddslingar tills de fyllt 18 år, även om de icke vidare äro föremål för fattigvård. Kommittén har alltså enligt min uppfattning haft fullgoda skäl för sitt förslag rörande minderårighetsgränsen. Då erfarenheten som sagt visat att största delen av dessa skyddslingar vid fyllda 15 år äro i tillfälle att kunna försörja sig själva, särskilt de som vistas på landsbygden, tillåter jag mig därför, herr greve och talman, yrka bifall till paragrafen med den ändring, att orden »16 år» utbytas mot »15 år».</w:t>
      </w:r>
    </w:p>
    <w:p>
      <w:pPr>
        <w:pStyle w:val="Heading2"/>
      </w:pPr>
      <w:r>
        <w:t>5. Axel Schotte (Liberala samlingspartiet, man)</w:t>
      </w:r>
    </w:p>
    <w:p>
      <w:r>
        <w:rPr>
          <w:b w:val="0"/>
        </w:rPr>
        <w:t>Herr talman! Föreliggande punkt är enligt min uppfattning en av de viktigare i förslaget, och då det är önskvärt om kammaren ville beakta den förevarande frågans särskilda betydelse, skall jag tillåta mig att yttra några ord.</w:t>
        <w:br/>
        <w:br/>
        <w:t xml:space="preserve">Det är visserligen så, att kommittén föreslagit en åldersgräns av 15 år, men kommittén har sagt, att de minderåriga vid 15 års ålder »icke vunnit sådan mognad, att de kunna reda sig, utan falla för de frestelser, som omgiva dem, samt att det därför är angeläget att någon myndighet har rätt att bestämma över dem ännu någon tid.» Detta har emellertid ett par reservanter i kommittén funnit alltför vagt och hemställa därför om höjande av minderårighetsgränsen till 16 år. Det är på fattigvårdsområdet så erfarna personer som fattigvårdsinspektören i Stockholm Lindblom och </w:t>
      </w:r>
      <w:r>
        <w:rPr>
          <w:b/>
        </w:rPr>
        <w:t>fröken²</w:t>
      </w:r>
      <w:r>
        <w:rPr>
          <w:b w:val="0"/>
        </w:rPr>
        <w:t xml:space="preserve"> Ebba Pauli. De framhålla i sin reservation vid kommitténs betänkande, att »varken enligt fattigvårdsförordningen eller enligt förslaget skall man nämligen ifråga om e!t barn som ännu ej fyllt 15 år spörja efter arbetsförmågan, ehuru sådant väl i ett antal fall även här kan vara till finnandes. utan man skall anse minderårigheten, d. v. s. barnets bristande omdöme och förmåga att till sitt rätta värde bedöma de möjligheter till utkomst, som kunna erbjuda sig. och i övrigt tillbörligen ordna sina levnadsförhållanden, vara tillräckligt skäl för</w:t>
        <w:br/>
        <w:br/>
        <w:t>kan icke vara berättigat att hos ungdom av denna ålder förvänta den sinnets mognad, som är en av förutsättningarna för plikten att fullt ut sörja för egen utkomst. Nambhällets eget intresse kräver en höjning av åldersgränsen.» Och bland de yttranden som äro avgivna över betänkandet finns det också många, där vederbörande uttala sig för 16-årsgränsen. Så göra bland annat Stockholms stads fattigvårdsnämnd, överståthållarämbetet, konungens befallningshavande i Stockholms, Östergötlands, Blekinge, Malmöhus, Älvsborgs och Västernorrlands län, Norrbottens läns landsting samt — varpå jag här fäster särskilt avseende — domkapitlen i Skara, Västerås, Lund, Göteborg, Härnösand och Luleå, Stockholms stads konsistorium, svenska kyrkans diakonistyrelse, svenska fattigvårdsförbundet, ävensom medicinalstyrelsen och kammarrätten. Det är således mycket starka auktoriteter och mycket erfarna myndigheter, vilka sålunda uttalat sig för införande av 16-årsåldern som minderårighetsgräns. Det är icke heller att befara, att de unga skola hemfalla till lättja eller likgiltighet eller missbruka sin rätt att åtnjuta fattigvård, om de få den rätten utsträckt tills utgången av det sextonde året, ty även om de icke uppnått 16-årsåldern, äro de berättigade till fattigunderstöd endast om de »sakna medel till sitt uppehälle och behovet icke annorledes kan avhjälpas». Endast om förmåga till försörjning icke alls finnes, inträder samhällets försörjningsplikt. Och i ett mycket stort antal fall finnes det icke försörjningsförmåga vid 16 års ålder. Särskilt är detta förhållandet i industrisamhällen och städer, men även eljest då barn utan att på grund av annan bestämmelse än den i första paragrafen vore berättigade till fattigvård, dock äro så outvecklade, att de icke kunna reda sig själva. Därför tror jag att det är bättre och lämpligare att sätta gränsen vid 16 år — ehuru visserligen i ett eller annat fall denna ålder kan vara högre än absolut erforderligt är — än att sätta den så, att vissa komma utanför gränsen, fastän de behöva fattigvård. Gränsens bestämmande till 16 år medför inga olägenheter, såsom jag tror mig hava påvisat, men däremot skulle dess sättande till 15 år kunna medföra betänkligheter i åtkskilliga avseenden. Med avseende härå vill jag hänvisa till vissa bestämmelser i den antagna lagen om praktiska ungdomsskolor, vilka göra det särskilt värdefullt, att åldern i fattigvårdslagen höjes över 15 år. Det har i den kungl. propositionen om fattigvårdslagen härutinnan framhållits, att »när de unga understödstagare, som hava fallenhet för något av de yrken, beträffande vilka genomgåendet av lärlingsskolor är avsett att bliva obligatoriskt, vid 15-årsåldern slutat fortsätiningsskolan, skulle möjligheten för dem att välja något av dessa yrken onekligen vara större. om de kunde räkna på fortsatt understöd från fattigvården åtminstone under något år av lärlingstiden; eljest skulle det för dem säkerligen ofta vara svårt att reda sig.»</w:t>
        <w:br/>
        <w:br/>
        <w:t>Reservanterna .hava åberopat — ehuru det icke särskilt framgick av den siste ärade talarens vttrande — att de önskade överens-</w:t>
        <w:br/>
        <w:br/>
        <w:t>stämmelse i åldersgräns mellan fattigvårdslagen och lagen om burn Lagförslag om utom äktenskapet, i vilken sistnämnda lag den allmänna gränsen fattigvården. för lörsörjningsskyldigheten är satt till 15 år. Men denna lag har (Forte) icke någon fix gräns av 15 år. Försörjningsplikten kan sträcka sig ända till 18 år och är beroende på anlag och övriga omständigheter. Att göra fattiovårdslagen 1 denna del fullt överensstämmande med lagen om barn utom äktenskapet kan icke vara lämpligt. Det kan icke anses vara av egentligen grundat behov påkallat att låta den förra lagens minderårighetsgräns sammanfalla med den senares lagens lägsta åldersgräns; de båda lagarnas syften äro väsentligt olika. Under det att nämligen enligt lagen om barn utom äktenskapet, som fastställer den enskildes plikt, barnet har rätt till underhåll lämpat efter båda föräldrarnas villkor och detta underhåll skall utgå oberoende av om barnet får egna medel eller hjälp på annat håll, är enligt fattigvårdslagen som anger det allmännas plikt, barnets rätt inskränkt till fyllande av ett föreliggande behov och betingat av att barnet saknar möjlighet till nödtorftigt livsuppehälle. Jag tror därför, att den jämförelsen icke håller streck eller bör vara avgörande med avseende på minderårighetsåldern enligt fattigvårdslagen. Om gränsen enligt fattigvårdslagen sattes till 15 år, skulle 1 allt fall de unga bli hårdare behandlade enligt fattigvårdslagen än enligt lagen om barn utom äktenskapet. Men det måste anses riktigt, att samhället i sitt eget intresse åtager sig något vidsträcktare förpliktelser mot de unga, än som kan åligga enskilda. Jag tror därför, att det vore synnerligen välbetänkt, om kammaren här ville följa utskottet i dess hemställan och således ansluta sig till Kungl. Maj:ts proposition om fastställande av minderårighetsgränsen till 16 år.</w:t>
      </w:r>
    </w:p>
    <w:p>
      <w:pPr>
        <w:pStyle w:val="Heading2"/>
      </w:pPr>
      <w:r>
        <w:t>6. Johan Beck Friis (Första kammarens nationella parti, man)</w:t>
      </w:r>
    </w:p>
    <w:p>
      <w:r>
        <w:rPr>
          <w:b w:val="0"/>
        </w:rPr>
        <w:t>Herr greve och talman! Jag kan visserligen icke såsom herr statsrådet börja med att säga att detta kanske är en av de viktigaste punkterna i lagen, ty jag kan icke finna, att det ligger någon så avgörande betydelse på frågan om minderårigheten sättes till 15 eller 16 år. Men vid det övervägande som jag haft för min personliga ställning till frågan har jag i valet, om jag borde ansluta mig till Kungl. Maj:ts förslag om 16 år eller reservanternas om 15 år såsom åldersgräns, kommit till den övertygelsen, att det riktiga är att höja åldersgränsen till 16 år.</w:t>
        <w:br/>
        <w:br/>
        <w:t>För det första vill jag därvid fästa mig vid att i de länder, där fattigvårdslagstiftningen är moderniserad, har åldersgränsen genomgående höjts. Den har nu i Tyskland, England och Frankrike satts till 16 år och i Danmark ända till 18 år. Om man ser på vilka myndigheter som uttalat sig för de olika åldrarna, skall man finna, att de röster, som höjts för 16-årsgränsen, äro röster från städer, köpingar, municipaloch industrisamhällen då däremot lantkommunerna hålla på 15-årsgränsen. Det är ju ganska givet. därför, att på landet kan ett barn komma till försörjning tidigare än vad ett barn i städerna kan.</w:t>
        <w:br/>
        <w:br/>
        <w:t>Men om jag ser närmare efter. vilka som yttrat sig om detta</w:t>
        <w:br/>
        <w:br/>
        <w:t>Att denna höjning skulle komma att lägga så stort band på fattigvården, kan jag icke inse. Enligt 36 $ av denna lag tillkommer det fattigvårdsstyrelsen att så snart som möjligt sätta de ungdomar, som den har i sin vård, i arbete. Följden av att de stå under fattigvårdsstyrelsens förmynderskap är, att ledamot av fattigvårdsstyrelsen har rätt att följa och övervaka dem och om detta får ske ett är längre, d. v. s. till sexton års ålder, så kan det väl icke vara annat än till nytta för dessa ungdomar, och bättre, än om de skola släppas ut på egen hand utan något förmynderskap över sig redan vid femton-årsåldern.</w:t>
        <w:br/>
        <w:br/>
        <w:t>Om vi tänka på en femton och sexton års ungdom, får man väl fråga sig, om de verkligen äro kompetenta att icke blott skaffa sig arbete utan även ordna och hava förstånd att ordna för sig själva. Jag får då säga, att både 15- och 16-åringar äro skäligen omogna härför, men det är dock bättre om de äro 16 än 15 år.</w:t>
        <w:br/>
        <w:br/>
        <w:t>Då jag således kommit till den övertygelsen, och man har att välja mellan femton och sexton år, så anser jag det vara rättast att hålla på sexton år och yrkar jag därför, herr talman, bifall till utskottets förslag.</w:t>
        <w:br/>
        <w:br/>
        <w:t xml:space="preserve">Föräldrar äro pliktiga att utan fattigvårdssamhälles betungande försörja sina minderåriga barn. Enahanda försörjningsplikt åligger man gentemot </w:t>
      </w:r>
      <w:r>
        <w:rPr>
          <w:b/>
        </w:rPr>
        <w:t>hustrun²</w:t>
      </w:r>
      <w:r>
        <w:rPr>
          <w:b w:val="0"/>
        </w:rPr>
        <w:t>.</w:t>
        <w:br/>
        <w:br/>
        <w:t xml:space="preserve">I övrigt åligger det föräldrat och barn att i mån av behov, å ena, samt förmåga, å andra sidan, försörja varandra, så att de ej falla fattigvården till last. Försörjningsplikt, som här sägs, åligger ock </w:t>
      </w:r>
      <w:r>
        <w:rPr>
          <w:b/>
        </w:rPr>
        <w:t>hustru²</w:t>
      </w:r>
      <w:r>
        <w:rPr>
          <w:b w:val="0"/>
        </w:rPr>
        <w:t xml:space="preserve"> gentemot mannen.</w:t>
        <w:br/>
        <w:br/>
        <w:t>Adoptant och adoptivbarn hava samma skyldighet att utan fattigvårdssamhälles betungande försörja varandra, som, enligt vad i denna paragraf sägs, åligger föräldrar och barn. Adoptivbarnets föräldrar äro i förhållande till det allmänna ej skyldiga att fullgöra försörjningen, där ej adoptanten blir ur stånd därtill.</w:t>
      </w:r>
    </w:p>
    <w:p>
      <w:pPr>
        <w:pStyle w:val="Heading2"/>
      </w:pPr>
      <w:r>
        <w:t>7. Ernst Klefbeck (Socialdemokraterna, man)</w:t>
      </w:r>
    </w:p>
    <w:p>
      <w:r>
        <w:rPr>
          <w:b w:val="0"/>
        </w:rPr>
        <w:t xml:space="preserve">Herr talman! Mot denna paragraf yttrade för en stund sedan herr Ström sina betänkligheter, och jag vill säga, att jag på det livligaste instämmer i dessa. Det gäller raden i slutet på andra stycket: »Försörjningsplikt, isom här sägs, åligger ock </w:t>
      </w:r>
      <w:r>
        <w:rPr>
          <w:b/>
        </w:rPr>
        <w:t>hustru²</w:t>
      </w:r>
      <w:r>
        <w:rPr>
          <w:b w:val="0"/>
        </w:rPr>
        <w:t xml:space="preserve"> gent emot mannen.» Av utskottets betänkande framgår, att fångvårdsstyrelsen och kammarrätten redan uttalat betänkligheter emot ett sådant stadgande. Enligt detsamma åligger det en stackars </w:t>
      </w:r>
      <w:r>
        <w:rPr>
          <w:b/>
        </w:rPr>
        <w:t>hustru²</w:t>
      </w:r>
      <w:r>
        <w:rPr>
          <w:b w:val="0"/>
        </w:rPr>
        <w:t xml:space="preserve">, som har att draga försorg om sig och sina barn, att även försörja sin man, som icke vill göra någonting för egen del och ännu mindre för </w:t>
      </w:r>
      <w:r>
        <w:rPr>
          <w:b/>
        </w:rPr>
        <w:t>hustru²</w:t>
      </w:r>
      <w:r>
        <w:rPr>
          <w:b w:val="0"/>
        </w:rPr>
        <w:t xml:space="preserve"> och barn. Gent emot detta säger utskottet allenast det, att detta stadgande är en naturlig konsekvens av makarnas civilrättsliga plikt att bidraga till varandras underhåll. J a, väl må det sägas vara en konsekvens men en konsekvens, som förefaller mig vara synnerligen obarmhärtig och som på ett orättmätigt sätt går ut över en stackars lidande, kämpande </w:t>
      </w:r>
      <w:r>
        <w:rPr>
          <w:b/>
        </w:rPr>
        <w:t>kvinna¹</w:t>
      </w:r>
      <w:r>
        <w:rPr>
          <w:b w:val="0"/>
        </w:rPr>
        <w:t>.</w:t>
        <w:br/>
        <w:br/>
        <w:t xml:space="preserve">Vidare säger utskottet, att i sådana fall laga anspråk mot </w:t>
      </w:r>
      <w:r>
        <w:rPr>
          <w:b/>
        </w:rPr>
        <w:t>hustrun²</w:t>
      </w:r>
      <w:r>
        <w:rPr>
          <w:b w:val="0"/>
        </w:rPr>
        <w:t xml:space="preserve"> icke kan ifrågakomma. Ja det kan väl hända, att fattigvården icke ålägger </w:t>
      </w:r>
      <w:r>
        <w:rPr>
          <w:b/>
        </w:rPr>
        <w:t>henne²</w:t>
      </w:r>
      <w:r>
        <w:rPr>
          <w:b w:val="0"/>
        </w:rPr>
        <w:t xml:space="preserve"> att betala för mannen och barnen men bara det, att en sådan här dålig karl icke blott skall kunna utnyttja </w:t>
      </w:r>
      <w:r>
        <w:rPr>
          <w:b/>
        </w:rPr>
        <w:t>hustruns²</w:t>
      </w:r>
      <w:r>
        <w:rPr>
          <w:b w:val="0"/>
        </w:rPr>
        <w:t xml:space="preserve"> arbetsförtjänst, utan rent av pocka på att det är </w:t>
      </w:r>
      <w:r>
        <w:rPr>
          <w:b/>
        </w:rPr>
        <w:t>hennes²</w:t>
      </w:r>
      <w:r>
        <w:rPr>
          <w:b w:val="0"/>
        </w:rPr>
        <w:t xml:space="preserve"> skyldighet att försörja honom, finner jag vara i allra högsta grad upprörande. Jag har under min verksamhet här i Stockholm sett flerfaldiga exempel på </w:t>
      </w:r>
      <w:r>
        <w:rPr>
          <w:b/>
        </w:rPr>
        <w:t>hustrur²</w:t>
      </w:r>
      <w:r>
        <w:rPr>
          <w:b w:val="0"/>
        </w:rPr>
        <w:t>, som slitit oerhört ont för att</w:t>
        <w:br/>
        <w:br/>
        <w:t xml:space="preserve">Jattigvärden. stå i lagen, att </w:t>
      </w:r>
      <w:r>
        <w:rPr>
          <w:b/>
        </w:rPr>
        <w:t>hon²</w:t>
      </w:r>
      <w:r>
        <w:rPr>
          <w:b w:val="0"/>
        </w:rPr>
        <w:t xml:space="preserve"> är s (Forts.) ;</w:t>
        <w:br/>
        <w:br/>
        <w:t>kyldig att göra det?</w:t>
        <w:br/>
        <w:br/>
        <w:t>Skall: det då t. o. m. Jag yrkar, att sista</w:t>
      </w:r>
    </w:p>
    <w:p>
      <w:pPr>
        <w:pStyle w:val="Heading2"/>
      </w:pPr>
      <w:r>
        <w:t>8. Johan Beck Friis (Första kammarens nationella parti, man)</w:t>
      </w:r>
    </w:p>
    <w:p>
      <w:r>
        <w:rPr>
          <w:b w:val="0"/>
        </w:rPr>
        <w:t xml:space="preserve">Den fråga, som nu av herr Klefbeck berörts, är en känslofråga. Om det bara gällde att hjälpa en </w:t>
      </w:r>
      <w:r>
        <w:rPr>
          <w:b/>
        </w:rPr>
        <w:t>hustru²</w:t>
      </w:r>
      <w:r>
        <w:rPr>
          <w:b w:val="0"/>
        </w:rPr>
        <w:t xml:space="preserve">, som är nog olycklig att hava en supig eller på annat sätt förfallen man, skulle det vara lämpligt att gå med på herr Klefbecks förslag, men </w:t>
      </w:r>
      <w:r>
        <w:rPr>
          <w:b/>
        </w:rPr>
        <w:t>hustruns²</w:t>
      </w:r>
      <w:r>
        <w:rPr>
          <w:b w:val="0"/>
        </w:rPr>
        <w:t xml:space="preserve"> skyldighet att gent emot det allmänna svara för, att</w:t>
        <w:br/>
        <w:br/>
        <w:t>mannen ej faller fattigvården till</w:t>
        <w:br/>
        <w:br/>
        <w:t>last, utgör en naturlig konsekvens</w:t>
        <w:br/>
        <w:br/>
        <w:t xml:space="preserve">Ej sällan händer det, att </w:t>
      </w:r>
      <w:r>
        <w:rPr>
          <w:b/>
        </w:rPr>
        <w:t>hustruns²</w:t>
      </w:r>
      <w:r>
        <w:rPr>
          <w:b w:val="0"/>
        </w:rPr>
        <w:br/>
        <w:br/>
        <w:t>förmögenhetsförhållanden och</w:t>
        <w:br/>
        <w:br/>
        <w:t xml:space="preserve">inkomster äro sådana, att </w:t>
      </w:r>
      <w:r>
        <w:rPr>
          <w:b/>
        </w:rPr>
        <w:t>hon²</w:t>
      </w:r>
      <w:r>
        <w:rPr>
          <w:b w:val="0"/>
        </w:rPr>
        <w:t xml:space="preserve"> är i stånd att svara för mannens för-</w:t>
        <w:br/>
        <w:br/>
        <w:t xml:space="preserve">Det är dock här en lag det gäller, och då kan man icke göra den lagen så, att den egentligen endast gäller för undantagsfall. Jag är viss om, att där ett sådant fall förekommer, som herr Klefbeck och motionärerna närmast tänkt på, fattigvårdsstyrelsen nog kommer att ordna den saken, så att </w:t>
      </w:r>
      <w:r>
        <w:rPr>
          <w:b/>
        </w:rPr>
        <w:t>hustrun²</w:t>
      </w:r>
      <w:r>
        <w:rPr>
          <w:b w:val="0"/>
        </w:rPr>
        <w:t xml:space="preserve"> icke får någon svårighet därav. Här gäller som sagt att skriva en lag, som skall vara tillämplig alltid, och det går icke an att taga hänsyn till vissa ömmande fall.</w:t>
        <w:br/>
        <w:br/>
        <w:t>Jag ber få yrka bifall till utskottets förslag.</w:t>
      </w:r>
    </w:p>
    <w:p>
      <w:pPr>
        <w:pStyle w:val="Heading2"/>
      </w:pPr>
      <w:r>
        <w:t>9. Edward Larson (–, man)</w:t>
      </w:r>
    </w:p>
    <w:p>
      <w:r>
        <w:rPr>
          <w:b w:val="0"/>
        </w:rPr>
        <w:t>I min egenskap av reservant i denna fråga skall jag be att få säga några ord. Det är ju så, att det i den kungl. propositionen förekommande ordet »skall» av utskottet utbytts emot ordet »bör». Såsom det huvudsakligaste skälet emot</w:t>
        <w:br/>
        <w:br/>
        <w:t xml:space="preserve">att i lagtexten införa, att en </w:t>
      </w:r>
      <w:r>
        <w:rPr>
          <w:b/>
        </w:rPr>
        <w:t>kvinna¹</w:t>
      </w:r>
      <w:r>
        <w:rPr>
          <w:b w:val="0"/>
        </w:rPr>
        <w:t xml:space="preserve"> skall vara ledamot i fattigvårdsstyrelse hava från flera håll anförts, att det torde vara svårt att finna en </w:t>
      </w:r>
      <w:r>
        <w:rPr>
          <w:b/>
        </w:rPr>
        <w:t>kvinna¹</w:t>
      </w:r>
      <w:r>
        <w:rPr>
          <w:b w:val="0"/>
        </w:rPr>
        <w:t xml:space="preserve">, inom varje kommun, som är lämplig. Ett sådant argument anser jag alldeles underskatta våra </w:t>
      </w:r>
      <w:r>
        <w:rPr>
          <w:b/>
        </w:rPr>
        <w:t>kvinnor¹</w:t>
      </w:r>
      <w:r>
        <w:rPr>
          <w:b w:val="0"/>
        </w:rPr>
        <w:t>, samtidigt som man alldeles överskattar männens lämplighet i detta hänseende. Jag vågar påstå, att, skulle man inom nuvarande fattigvårdsstyrelser göra en undersökning för att utröna ledamöternas lämplighet för detta uppdrag och göra en utgallring av dem, som vore olämpliga, skulle det bliva en fruktansvärd manspillan. Det är långt ifrån så, att alla män, som inväljas i en fattigvårdsstyrelse äro lämpliga därtill, utan fast mer är det nog många, som äro synnerligen olämpliga, och det stora behovet av en reform av fattigvården talar också sitt tydliga språk, att männen icke förstå eller velat förstå nutidens krav såsom önskligt och behövligt hade varit.</w:t>
        <w:br/>
        <w:br/>
        <w:t>Fattigvård innefattar meddelande av vård och uppfostran åt barn, sjukvård åt abnorma och med kroniska lidanden behäftade, hjälp åt ensamma barnaföderskor, underhåll åt sjuka och hjälplösa åldringar, hushållsgöromål m. m.</w:t>
        <w:br/>
        <w:br/>
        <w:t xml:space="preserve">I det dagliga livet är det ju våra </w:t>
      </w:r>
      <w:r>
        <w:rPr>
          <w:b/>
        </w:rPr>
        <w:t>kvinnor¹</w:t>
      </w:r>
      <w:r>
        <w:rPr>
          <w:b w:val="0"/>
        </w:rPr>
        <w:t xml:space="preserve">, som få utföra huvudparten av detta arbete och om de då kunna göra det i den mindre familjen, varför skulle de icke kunna göra det i den större, samhället. Jag tror för min del, att de äro synnerligen väl skickade för detta uppdrag och jag tror att det är vida lättare att i en kommun finna en </w:t>
      </w:r>
      <w:r>
        <w:rPr>
          <w:b/>
        </w:rPr>
        <w:t>kvinna¹</w:t>
      </w:r>
      <w:r>
        <w:rPr>
          <w:b w:val="0"/>
        </w:rPr>
        <w:t xml:space="preserve"> som är lämplig till ledamot i fattigvårdsstyrelsen, än det är att finna 4 å 5 män.</w:t>
        <w:br/>
        <w:br/>
        <w:t xml:space="preserve">Nu har från visst håll sagts, att med den avfattning som lagtexten fått, kommer man att så mycket som möjligt verka för att få in </w:t>
      </w:r>
      <w:r>
        <w:rPr>
          <w:b/>
        </w:rPr>
        <w:t>kvinnor¹</w:t>
      </w:r>
      <w:r>
        <w:rPr>
          <w:b w:val="0"/>
        </w:rPr>
        <w:t xml:space="preserve"> i de olika styrelserna. Ja, i ett fåtal fall blir det nog så, men det blir dock mera undantagsvis. Min bestämda övertygelse är, att om det icke blir obligatoriskt, att en </w:t>
      </w:r>
      <w:r>
        <w:rPr>
          <w:b/>
        </w:rPr>
        <w:t>kvinna¹</w:t>
      </w:r>
      <w:r>
        <w:rPr>
          <w:b w:val="0"/>
        </w:rPr>
        <w:t xml:space="preserve"> skall väljas, så blir det heller icke många valda. Det är i varje fall en stor orättvisa och ett förnärmande emot </w:t>
      </w:r>
      <w:r>
        <w:rPr>
          <w:b/>
        </w:rPr>
        <w:t>kvinnan¹</w:t>
      </w:r>
      <w:r>
        <w:rPr>
          <w:b w:val="0"/>
        </w:rPr>
        <w:t xml:space="preserve"> att säga, att </w:t>
      </w:r>
      <w:r>
        <w:rPr>
          <w:b/>
        </w:rPr>
        <w:t>hon²</w:t>
      </w:r>
      <w:r>
        <w:rPr>
          <w:b w:val="0"/>
        </w:rPr>
        <w:t xml:space="preserve"> icke är lämplig. För min del anser jag, att det icke finns något område i det offentliga livet, som </w:t>
      </w:r>
      <w:r>
        <w:rPr>
          <w:b/>
        </w:rPr>
        <w:t>kvinnan¹</w:t>
      </w:r>
      <w:r>
        <w:rPr>
          <w:b w:val="0"/>
        </w:rPr>
        <w:t xml:space="preserve"> är så skickad för eller där </w:t>
      </w:r>
      <w:r>
        <w:rPr>
          <w:b/>
        </w:rPr>
        <w:t>hon²</w:t>
      </w:r>
      <w:r>
        <w:rPr>
          <w:b w:val="0"/>
        </w:rPr>
        <w:t xml:space="preserve"> har en så stor uppgift att fylla som just i fråga om barnavård, sjukvård och fattigvård, och det vore säkerligen mycket lyckligt för de stackars människor, som äro beroende av fattigvården, om lagen kunde skrivas så, att en </w:t>
      </w:r>
      <w:r>
        <w:rPr>
          <w:b/>
        </w:rPr>
        <w:t>kvinna¹</w:t>
      </w:r>
      <w:r>
        <w:rPr>
          <w:b w:val="0"/>
        </w:rPr>
        <w:t xml:space="preserve"> skall väljas i varje fattigvårdsstyrelse.</w:t>
        <w:br/>
        <w:br/>
        <w:t>Jag anhåller, herr talman, att få yrka bifall till reservationen.</w:t>
      </w:r>
    </w:p>
    <w:p>
      <w:pPr>
        <w:pStyle w:val="Heading2"/>
      </w:pPr>
      <w:r>
        <w:t>10. Johan Beck Friis (Första kammarens nationella parti, man)</w:t>
      </w:r>
    </w:p>
    <w:p>
      <w:r>
        <w:rPr>
          <w:b w:val="0"/>
        </w:rPr>
        <w:t>Jag hade tänkt inskränka mig till att yrka bifall till $ 11 2 mom. Då vi redan bifallit det första momentet, så finner jag icke anledning att avfatta det andra på annat sätt, men efter herr Larsons anförande, måste jag, herr talman, anhålla få säga några ord.</w:t>
        <w:br/>
        <w:br/>
        <w:t xml:space="preserve">Det förefaller mig nästan, som om herr Larson icke hade läst vår motivering. Han ansåg, att vi skulle hava tagit något slags avstånd ifrån lämpligheten att hava </w:t>
      </w:r>
      <w:r>
        <w:rPr>
          <w:b/>
        </w:rPr>
        <w:t>kvinnan¹</w:t>
      </w:r>
      <w:r>
        <w:rPr>
          <w:b w:val="0"/>
        </w:rPr>
        <w:t xml:space="preserve"> i fattigvårdsstyrelsen. Tvärtom, hela motiveringen utgår från att vi finna det synnerligen</w:t>
        <w:br/>
        <w:br/>
        <w:t xml:space="preserve">lämpligt och att man visst bör taga vara på </w:t>
      </w:r>
      <w:r>
        <w:rPr>
          <w:b/>
        </w:rPr>
        <w:t>kvinnans¹</w:t>
      </w:r>
      <w:r>
        <w:rPr>
          <w:b w:val="0"/>
        </w:rPr>
        <w:t xml:space="preserve"> kraft för dessa [xglörslag om uppdrag. Men om man också har den åsikten och anser, att det är fa (od en. det allra viktigaste, så är det dock ett mycket stort steg därifrån (Forts.) och till att säga, att en </w:t>
      </w:r>
      <w:r>
        <w:rPr>
          <w:b/>
        </w:rPr>
        <w:t>kvinna¹</w:t>
      </w:r>
      <w:r>
        <w:rPr>
          <w:b w:val="0"/>
        </w:rPr>
        <w:t xml:space="preserve"> »skall» vara ledamot av styrelsen. Då är den frågan absolut obligatorisk. Det har dock visat sig under diskussionen i utskottet, att det med all säkerhet här och var på landet, t. ex. i mången mindre kommun, icke finnes någon </w:t>
      </w:r>
      <w:r>
        <w:rPr>
          <w:b/>
        </w:rPr>
        <w:t>kvinna¹</w:t>
      </w:r>
      <w:r>
        <w:rPr>
          <w:b w:val="0"/>
        </w:rPr>
        <w:t xml:space="preserve">, som direkt vore lämpad härför. I andra kommuner kanske det nog finns </w:t>
      </w:r>
      <w:r>
        <w:rPr>
          <w:b/>
        </w:rPr>
        <w:t>kvinnor¹</w:t>
      </w:r>
      <w:r>
        <w:rPr>
          <w:b w:val="0"/>
        </w:rPr>
        <w:t xml:space="preserve">, som äro lämpliga härför, men vilkas bostäder icke ligga så till, att de utan stora svårigheter skulle kunna deltaga i sammanträdena, och det är detta som gör, att utskottet velat i motiveringen så starkt som möjligt framhålla det lämpliga och önskvärda i att </w:t>
      </w:r>
      <w:r>
        <w:rPr>
          <w:b/>
        </w:rPr>
        <w:t>kvinnor¹</w:t>
      </w:r>
      <w:r>
        <w:rPr>
          <w:b w:val="0"/>
        </w:rPr>
        <w:t xml:space="preserve"> såsom ledamöter deltava i fattigvårdsstyrelsernas arbeten, men utskottsmajoriteten har dock icke velat gå så långt, som Kungl. Maj:t föreslagit genom det obligatoriska »skall», utan har utbytt detta »skall» emot »bör», ty med den motivering vi föreslagit, håller jag för sannolikt att i de allra flesta fattigvårdsstyrelser bliva </w:t>
      </w:r>
      <w:r>
        <w:rPr>
          <w:b/>
        </w:rPr>
        <w:t>kvinnor¹</w:t>
      </w:r>
      <w:r>
        <w:rPr>
          <w:b w:val="0"/>
        </w:rPr>
        <w:t xml:space="preserve"> invalda. Herr talman! Jag hemställer om bifall till utskottets förslag.</w:t>
      </w:r>
    </w:p>
    <w:p>
      <w:pPr>
        <w:pStyle w:val="Heading2"/>
      </w:pPr>
      <w:r>
        <w:t>11. Anders Antonsson (Liberala samlingspartiet, man)</w:t>
      </w:r>
    </w:p>
    <w:p>
      <w:r>
        <w:rPr>
          <w:b w:val="0"/>
        </w:rPr>
        <w:t xml:space="preserve">Herr greve och talman, mina herrar! Enligt gällande kommunalförfattning äro såväl män som </w:t>
      </w:r>
      <w:r>
        <w:rPr>
          <w:b/>
        </w:rPr>
        <w:t>kvinnor¹</w:t>
      </w:r>
      <w:r>
        <w:rPr>
          <w:b w:val="0"/>
        </w:rPr>
        <w:t xml:space="preserve"> röstoch valberättigade jämväl vid val av fattigvårdsstyrelse. Det bestämmes ju också i nästa $ av här föreliggande förslag, att till ledamöter i fattigvårdsstyrelse kunna väljas svenska män och </w:t>
      </w:r>
      <w:r>
        <w:rPr>
          <w:b/>
        </w:rPr>
        <w:t>kvinnor¹</w:t>
      </w:r>
      <w:r>
        <w:rPr>
          <w:b w:val="0"/>
        </w:rPr>
        <w:t xml:space="preserve">, som fyllt 25 år. Det torde sålunda få anses tämligen överflödigt att 1 $ 11 införa en föreskrift om att minst en </w:t>
      </w:r>
      <w:r>
        <w:rPr>
          <w:b/>
        </w:rPr>
        <w:t>kvinna¹</w:t>
      </w:r>
      <w:r>
        <w:rPr>
          <w:b w:val="0"/>
        </w:rPr>
        <w:t xml:space="preserve"> »skall» väljas. Detta stadgande kan vålla olägenhet i fall vederbörande, som hava att förrätta valet, icke hava tillgång på någon intresserad </w:t>
      </w:r>
      <w:r>
        <w:rPr>
          <w:b/>
        </w:rPr>
        <w:t>kvinna¹</w:t>
      </w:r>
      <w:r>
        <w:rPr>
          <w:b w:val="0"/>
        </w:rPr>
        <w:t xml:space="preserve"> eller anse det för övrigt vara mindre lämpligt. Kommitténs ursprungliga förslag innehåller ingen bestämmelse om att minst en av ledamöterna skall vara </w:t>
      </w:r>
      <w:r>
        <w:rPr>
          <w:b/>
        </w:rPr>
        <w:t>kvinna¹</w:t>
      </w:r>
      <w:r>
        <w:rPr>
          <w:b w:val="0"/>
        </w:rPr>
        <w:t xml:space="preserve">. Det är Kungl. Maj:t som i sin proposition framburit detta förslag. Utskottet har i viss mån modifierat förslaget och ändrat ordet »skall» till »bör». Enligt min uppfattning torde det vara bäst att om något i detta sammanhang skall nämnas om val av </w:t>
      </w:r>
      <w:r>
        <w:rPr>
          <w:b/>
        </w:rPr>
        <w:t>kvinna¹</w:t>
      </w:r>
      <w:r>
        <w:rPr>
          <w:b w:val="0"/>
        </w:rPr>
        <w:t xml:space="preserve"> man håller sig till utskottets förslag och icke följer Kungl. Maj:t i denna punkt. Bestämmelsen är som sagt obehövlig, därför att män och </w:t>
      </w:r>
      <w:r>
        <w:rPr>
          <w:b/>
        </w:rPr>
        <w:t>kvinnor¹</w:t>
      </w:r>
      <w:r>
        <w:rPr>
          <w:b w:val="0"/>
        </w:rPr>
        <w:t xml:space="preserve"> i detta avseende äro lika berättigade.</w:t>
        <w:br/>
        <w:br/>
        <w:t>Jag ber dock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294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