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1425</w:t>
      </w:r>
    </w:p>
    <w:p>
      <w:r>
        <w:rPr>
          <w:b/>
        </w:rPr>
        <w:t xml:space="preserve">Datum: </w:t>
      </w:r>
      <w:r>
        <w:t>1919-04-01</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Walter Kant (Lantmanna- och borgarepartiet inom andrakammaren, man)</w:t>
      </w:r>
    </w:p>
    <w:p>
      <w:r>
        <w:rPr>
          <w:b w:val="0"/>
        </w:rPr>
        <w:t>Herr talman! Såsom synes av det föreliggande för minskning utskottsutlåtandet, har bankoutskottet hemställt, att förevarande, av i deras bemig väckta motion icke måtte till någon riksdagens åtgärd föranleda. löningaför-</w:t>
        <w:br/>
        <w:br/>
        <w:t>Den motivering, utskottet bestått detta sitt avslagsyrkande, är månar. synnerligen knapphändig, ja, så knapphändig, skulle jag vilja säga, att det näppeligen torde vara möjligt för någon att därav utläsa de skäl, utskottet verkligen haft för detta sitt yrkande.</w:t>
        <w:br/>
        <w:br/>
        <w:t xml:space="preserve">Jag anser mig för min del hava i motionen visat, att såväl rättvisa och billighet som fordran på likhet inför lagen ovillkorligen kräva, att ifrågavarande professorer vid lantbruksinstitutet vid Ultuna i någon mån erhålla gottgörelse för den förlust, de lidit därigenom att de vid övergång på ny stat fått vidkännas dessa betungande retroaktiv-avgifter till civilstatens </w:t>
      </w:r>
      <w:r>
        <w:rPr>
          <w:b/>
        </w:rPr>
        <w:t>änkeoch²</w:t>
      </w:r>
      <w:r>
        <w:rPr>
          <w:b w:val="0"/>
        </w:rPr>
        <w:t xml:space="preserve"> pupillkassa, då riksdagen sedermera beslutat att bevilja ett avsevärt anslag såsom bidrag till de befordringsavgifter, vilka befattningshavare, tillhörande sjukvårdsoch ekonomipersonalen vid statens hospital och asyler, hade att, därest de från och med år 1919 tillträdde befattning å ordinarie stat, enligt reglementet för civilstatens </w:t>
      </w:r>
      <w:r>
        <w:rPr>
          <w:b/>
        </w:rPr>
        <w:t>änkeoch²</w:t>
      </w:r>
      <w:r>
        <w:rPr>
          <w:b w:val="0"/>
        </w:rPr>
        <w:t xml:space="preserve"> pupillkassa till nämnda kassa erlägga.</w:t>
        <w:br/>
        <w:br/>
        <w:t>Nu säger visserligen utskottet, att denna sistnämnda grupp av befattningshavare icke lärer kunna anses vara i förevarande avseende fullt likställd med de tjänstinnehavare, om vilka här är fråga.</w:t>
        <w:br/>
        <w:br/>
        <w:t>bruksinstitut För min del kan jag icke förstå detta utskottets påstående, och jag för minskning tror näppeligen, att utskottets ledamöter själva ens hava haft klart</w:t>
        <w:br/>
        <w:br/>
        <w:t>i deras be-</w:t>
        <w:br/>
        <w:br/>
        <w:t xml:space="preserve">för sig, vad detta påstående innebär. Jag har nämligen frågat flera utskottsledamöter om denna sak, men har icke kunnat få något tillfredsställande svar. Jag kan för min del icke finna annat, än att dessa nu nämnda befattningshavare i förevarande avseende äro full. komligt likställda med ifrågavarande professorer. MSåväl de förra som de senare äro nämligen i statens tjänst anställda personer, som vid övergång till ny lönestat fått vidkännas betungande retroaktiva avgifter till civilstatens </w:t>
      </w:r>
      <w:r>
        <w:rPr>
          <w:b/>
        </w:rPr>
        <w:t>änkeoch²</w:t>
      </w:r>
      <w:r>
        <w:rPr>
          <w:b w:val="0"/>
        </w:rPr>
        <w:t xml:space="preserve"> pupillkassa. Skulle emellertid utskottet med sitt uttryck »i förevarande avseende icke fullt likställd» ha menat, att ifrågavarande professorer blivit i berörda hänseende försatta i sämre läge än de nämnda befattningshavarna — och detta torde, om man noggrant genomtränger dessa frågor, visa sig vara det verkliga förhållandet — ja, då skulle väl detta utgöra ett ytterligare skäl för bifall till min motion.</w:t>
        <w:br/>
        <w:br/>
        <w:t>Vidare säger utskottet, »att det för övrigt rent principiellt måste vara ägnat att väcka betänkligheter att utan särskilt bärande skäl frångå ett så nyligen som förlidet år fattat beslut.» Jag hade för min del trott, att det skulle vara skäl nog, om det uppvisades, att staten begått en skriande orättvisa mot vissa av sina löntagare, även om dessa befunnos vara statstjänstemän i högre ställning, samt att principen om allas likhet inför lagen i förevarande fall helt enkelt skulle ha fordrat, att riksdagen ändrade sitt förra året fattade beslut.</w:t>
        <w:br/>
        <w:br/>
        <w:t>Då det emellertid icke torde vara lönt att gent emot ett enhälligt utskott söka förmå kammaren att bifalla motionen, vill jag, herr talman, icke framställa något yrkande i saken.</w:t>
      </w:r>
    </w:p>
    <w:p>
      <w:pPr>
        <w:pStyle w:val="Heading2"/>
      </w:pPr>
      <w:r>
        <w:t>2. unknown (–, –)</w:t>
      </w:r>
    </w:p>
    <w:p>
      <w:r>
        <w:rPr>
          <w:b w:val="0"/>
        </w:rPr>
        <w:t xml:space="preserve">Herr talman mina herrar! Den ärade motionären begagnade ett något starkt uttryck, då han som skriande orättvisa betecknade det förhållandet att riksdagen förlidet år icke biföll en kungl. proposition om att de omskrivna professorerna i Ultuna skulle hållas skadeslösa för de rektroaktiva avgifter, de till civilstatens </w:t>
      </w:r>
      <w:r>
        <w:rPr>
          <w:b/>
        </w:rPr>
        <w:t>änkeoch²</w:t>
      </w:r>
      <w:r>
        <w:rPr>
          <w:b w:val="0"/>
        </w:rPr>
        <w:t xml:space="preserve"> pupillkassa måste erlägga, när de gingo in på den lönestat som 1917 års riksdag hade för dem fastställt.</w:t>
        <w:br/>
        <w:br/>
        <w:t>Det framhölls, när denna fråga förlidet år var före i denna kammare, rätt och klart. tyckte jag mig finna, att någon som helst orättvisa därigenom tillfogades dessa personer.</w:t>
        <w:br/>
        <w:br/>
        <w:t>Jag ber den ärade talaren lägga märke till, att de tjänstemän, som det här är fråga om, voro redan på ordinarie stat. De voro på den gamla staten med rektors rang, heder och värdighet. Det stod dem alldeles fritt att stå kvar på denna gamla stat. Det gjorde också en av lektorerna. Denne ansåg nämligen, att han var så gammal att de retroaktiva avgifterna för honom skulle bli så betungande, att han icke kunde gå in på den nya staten. Så gjorde emellertid icke de andra, och de visste då konsekvenserna. Att säga, att de härigenom ledo löne-</w:t>
        <w:br/>
        <w:br/>
        <w:t xml:space="preserve">minskning är att räkna något för hastigt. Faktum är, att den nya Ang. gottstaten tillerkänner dem högre lön och högre rang. Genom erläggandet oftas åt sa av dessa högre avgifter bereda de också sin familj ökade försörjnings- "Tjmna lant. möjligheter vid sin bortgång samt sig själva högre pension. Om dessa bruksinstitut personer i stället för att erlägga dessa högre avgifter till civilstatens för minskning </w:t>
      </w:r>
      <w:r>
        <w:rPr>
          <w:b/>
        </w:rPr>
        <w:t>änkeoch²</w:t>
      </w:r>
      <w:r>
        <w:rPr>
          <w:b w:val="0"/>
        </w:rPr>
        <w:t xml:space="preserve"> pupillkassa insatt pengarna på låt mig säga, en ränteanstalt + (deras ber, för familjens räkning, så hade det ju varit en ren affär. På samma sätt löningsförär det en ren affär att erlägga dessa avgifter. Det är icke rätt att måner. säga att dessa tjänstemän ledo löneminskning. Detta gjorde de icke, (Forts) utan de placerade en del av sina inkomster på ett sätt som vid deras frånfälle skulle säkerställa de efterlevande.</w:t>
        <w:br/>
        <w:br/>
        <w:t xml:space="preserve">Det andra skälet, som synes vara för motionären ett verkligt sådant att i år komma och begära, att riksdagen nu skulle uppriva sitt beslut från förra året skulle vara det att riksdagen beslutat betala de retroaktiva avgifterna för den extra ordinarie hospitalspersonalen, som nu kom upp på ordinarie stat. Men här föreligger dock den skillnaden mellan denna hospitalspersonal och förevarande tjänstemän, att de förra voro på extra ordinarie stat och de senare på ordinarie. Man kunde icke begära, att de skulle stanna kvar på extra ordinarie stat, då de naturligtvis ville skyndsammast möjligt komma på ordinarie stat. De hade gått extra ordinarie så många år, att de retroaktiva avgifterna till civilstatens </w:t>
      </w:r>
      <w:r>
        <w:rPr>
          <w:b/>
        </w:rPr>
        <w:t>änkeoch²</w:t>
      </w:r>
      <w:r>
        <w:rPr>
          <w:b w:val="0"/>
        </w:rPr>
        <w:t xml:space="preserve"> pupillkassa skulle göra deras övergång på ordinarie stat hart när omöjlig, om staten icke trätt emellan. Men lektorerna vid Ultuna voro på ordinarie stat, på vilken de hade rättighet att stanna kvar om de det velat, men tillfälle bereddes dem att ingå på ny stat med högre lön och högre rang.</w:t>
        <w:br/>
        <w:br/>
        <w:t>Utskottet har nog senterat denna skillnad. Jag hoppas att den ärade talaren också mycket väl ser skillnaden mellan å ena sidan dessa ordinarie lektorer som iblevo professorer och å andra sidan dessa extra ordinarie sjukvårdare och denna extra ordinarie ekonomipersonal vid hospitalen, som blevo ordinarie. Den jämförelse talaren gjort är icke riktig.</w:t>
        <w:br/>
        <w:br/>
        <w:t>Jag ber, herr talman, att få yrka bifall till utskottets förevarande förslag. kr</w:t>
      </w:r>
    </w:p>
    <w:p>
      <w:pPr>
        <w:pStyle w:val="Heading2"/>
      </w:pPr>
      <w:r>
        <w:t>3. Walter Kant (Lantmanna- och borgarepartiet inom andrakammaren, man)</w:t>
      </w:r>
    </w:p>
    <w:p>
      <w:r>
        <w:rPr>
          <w:b w:val="0"/>
        </w:rPr>
        <w:t xml:space="preserve">Herr talman! Med anledning av den siste talarens anförande måste jag påpeka, att det orättvisa ligger naturligtvis icke däri, att riksdagen förra året i april icke beviljade äskad gottgörelse till dessa lärare, utan orättvisan ligger däri, att samma års riksdag senare beviljade anslag för betalande av retroaktiv-avgifter till civilstatens </w:t>
      </w:r>
      <w:r>
        <w:rPr>
          <w:b/>
        </w:rPr>
        <w:t>änkeoch²</w:t>
      </w:r>
      <w:r>
        <w:rPr>
          <w:b w:val="0"/>
        </w:rPr>
        <w:t xml:space="preserve"> pupillkassa för vissa andra befattningshavare. När riksdagen gjorde detta vid ett senare tillfälle förra året, synes det mig, som om rättvisa och billighet ovillkorligen krävde, att riksdagen nu ändrade sitt föregående år fattade beslut angående professorerna vid Ultuna. Riksdagen har nämligen principiellt intagit en annan ståndpunkt i denna fråga vid ett senare tillfälle, än vad den glorde i april förra året. |</w:t>
        <w:br/>
        <w:br/>
        <w:t>Vidare säger den ärade talaren, att det icke blivit någon löneminskning för dessa befattningshavare genom att de övergått på ny</w:t>
        <w:br/>
        <w:br/>
        <w:t>stat. Men det är just det, som det blivit; det har klart och tydligt</w:t>
        <w:br/>
        <w:br/>
        <w:t>görelse åt tre visats i motionen samt i Kungl. Mai:ts proposition och bankoutskot-</w:t>
        <w:br/>
        <w:br/>
        <w:t>tets utlåtande förra året, att en sådan löneminskning verkligen in-</w:t>
        <w:br/>
        <w:br/>
        <w:t>bruksinstitut trätt. Jordbruksministern underströk också mycket starkt såväl i för minskning den kungl. propositionen som i sitt muntliga anförande inför kam-</w:t>
        <w:br/>
        <w:br/>
        <w:t>i deras be-</w:t>
        <w:br/>
        <w:br/>
        <w:t>maren, att det verkligen säregna förhållandet här inträtt, att vissa av statens befattningshavare fått vidkännas en löneminskning, därför att de övergått på ny stat. Och att detta varit förhållandet, torde väl vara ofrånkomligt och vara svårt att hävda motsatsen.</w:t>
        <w:br/>
        <w:br/>
        <w:t>Slutligen sade den ärade talaren, att när det gällde personalen vid hospital och asyler, det var naturligt, att ett annat beslut kunde fattas, ty detta var extra personal. Jag kan icke förstå, att man härvid kan göra någon skillnad. Men skulle något sådant förekomma, borde väl detta snarare vara till fördel för den ordinarie och icke för den extra personalen. Staten bör väl i första rummet se till, att den ordinarie personalen i statens tiänst får den gottgörelse, som den har rätt att av staten kräva.</w:t>
      </w:r>
    </w:p>
    <w:p>
      <w:pPr>
        <w:pStyle w:val="Heading2"/>
      </w:pPr>
      <w:r>
        <w:t>4. Emil Kristensson (Socialdemokraterna, man)</w:t>
      </w:r>
    </w:p>
    <w:p>
      <w:r>
        <w:rPr>
          <w:b w:val="0"/>
        </w:rPr>
        <w:t xml:space="preserve">Herr talman! Den ärade motionären har ytterst starkt angripit utskottet och använt sig av det uttrycket mot utskottet, att det begått en skriande orättvisa, och han använde även starka uttryck med anledning av att föregående års riksdag beslöt på sätt, den gjorde. Jag får för min del säga, att det icke finnes något bärande skäl för den ärade motionärens starka uttryck i det hänseendet. Han refererar nu det anförande, som chefen för jordbruksdepartementet höll här i fiol. Jag förstår, att han icke vill re: ferera det anförande, som en högt aktad riksdagsman och ledamot av löneregleringskommittén höll, nämligen herr Carl Persson i Stallerhult, som mycket klart påvisade, vilka konsekvenser ett beslut i enlighet med motionärens framställning skulle leda till. Det förhåller sig ju på det sättet, att här inträffar jämt och samt, att personer flytta upp från ett plan till ett annat, från lektorsplatser till professorsplatser o. s. v. hela linjen utefter. Då så äger rum, få de enligt gällande bestämmelser beträffande </w:t>
      </w:r>
      <w:r>
        <w:rPr>
          <w:b/>
        </w:rPr>
        <w:t>änkeoch²</w:t>
      </w:r>
      <w:r>
        <w:rPr>
          <w:b w:val="0"/>
        </w:rPr>
        <w:t xml:space="preserve"> pupillkassan vidkännas vissa retroaktiva avgifter. Det är nu i lag fastställt och gäller för statsförvaltningen i dess helhet. Om riksdagen skall gå in på att här göra ett undantag för dessa, så får riksdagen fatta liknande beslut beträffande alla de 100-tals likartade fall, som förekomma. Motionären borde väl förstå, att det är ett helt annat förhållande, som här äger rum, än i det fall, som han här åberopat, nämligen då personalen vid statens hospital uppfördes på ordinarie stat.</w:t>
        <w:br/>
        <w:br/>
        <w:t xml:space="preserve">Jag skall be att med några ord för kammaren få klarlägga, till vilka besynnerligheter man kommer, om man här skulle gå in på motionärens förslag. Vid Ultuna finnas utom de här nämnda lektorerna, som blivit professorer och som nu fått vidkännas löneminskning, även andra lektorer, som gått in i civilstatens </w:t>
      </w:r>
      <w:r>
        <w:rPr>
          <w:b/>
        </w:rPr>
        <w:t>änkeoch²</w:t>
      </w:r>
      <w:r>
        <w:rPr>
          <w:b w:val="0"/>
        </w:rPr>
        <w:t xml:space="preserve"> pupillkassa långt innan denna överflyttning ägde rum och som sålunda själva under åtskilliga år betalat avsifter till </w:t>
      </w:r>
      <w:r>
        <w:rPr>
          <w:b/>
        </w:rPr>
        <w:t>änkeoch²</w:t>
      </w:r>
      <w:r>
        <w:rPr>
          <w:b w:val="0"/>
        </w:rPr>
        <w:t xml:space="preserve"> nupillkassan. Därför att dessa begagnat det tillfälle, som de hade att gå in i denna</w:t>
        <w:br/>
        <w:br/>
        <w:t xml:space="preserve">kassa och därmed skaffa trygghet för sina efterkommande, så fingo a gott. = de nu, när de flyttades upp till professorer, icke samma avdrag som srofessorer vid dessa här nämnda och behövde icke heller vidkännas någon löneminsk- ”tituna lantning. Om man nu jämför dessa här nämnda, som alltså själva icke bruksinstitut betalt avgifter och bidrag till sina familjers pensionering — och vifor ann veta ju alla, att familjepensioneringen åvilar befattningshavarna själhin. av va och att staten här icke lämnar bidrag — med dessa andra, som löningsförsörjt för sina familjer genom att ingå i </w:t>
      </w:r>
      <w:r>
        <w:rPr>
          <w:b/>
        </w:rPr>
        <w:t>änkeoch²</w:t>
      </w:r>
      <w:r>
        <w:rPr>
          <w:b w:val="0"/>
        </w:rPr>
        <w:t xml:space="preserve"> pupillkassan på ett måner. tidigare stadium och när de överflyttades från lektorer till professo- = (Forts) rer fått ett mindre avdrag, så skulle enligt motionärens förslag dessa senare icke få något bidrag av staten, men de förra, som icke själva velat bidraga till sina familjers pensionering för att trygga dem på ålderdomens dagar, dessa, som icke själva betalat några avgifter och därför fått högre retroaktiva avgifter, dem skulle staten hjälpa. Med andra ord: skolkarna från </w:t>
      </w:r>
      <w:r>
        <w:rPr>
          <w:b/>
        </w:rPr>
        <w:t>änkeoch²</w:t>
      </w:r>
      <w:r>
        <w:rPr>
          <w:b w:val="0"/>
        </w:rPr>
        <w:t xml:space="preserve"> pupillkassan skulle premieras av staten. Det är väl ett helt annat förhållande, än som motionären påvisat i sin motion. .</w:t>
        <w:br/>
        <w:br/>
        <w:t>Nu åberopar motionären vidare ett betänkande, avgivet av de så kallade centraliseringskommitterade, i vilket man söker att för framtiden komma ifrån retroaktivavgifterna, så att hela familjepensionsfrågan skulle ledas in på andra linjer. Till den saken hava statsmakterna ännu icke intagit någon som helst ståndpunkt, och det ligger i vida fältet vad riksdagen härvidlag kan komma att besluta. Men det är en helt annan fråga, och när den kommer före, genomföres ju samma princip över hela linjen, och då blir det inte tal om några undantagsfall, där somliga personer premieras och andra i liknande ställning icke få något bidrag, vilket skulle bli följden genom ett bifall till motionärens framställning.</w:t>
        <w:br/>
        <w:br/>
        <w:t>Slutligen vill iag framhålla ytterligare ett skäl. Vart skulle det leda, om riksdagen skulle på lösa grunder ändra ett beslut, som föregående riksdag fattat? Här föreligger i detta betänkande ännu. ett sådant fall, då det kommit fram en motion, som går ut på ändrino i föregående riksdags beslut. Om riksdagen skulle gå in på att ena året ändra vad den föregående riksdagen beslutat, skulle vi komma ut på ett fullständigt gungfly i fråga om dessa saker, och det skulle bli nästan omöjligt att tillämpa några enhetliga och fasta principer vid behandlingen av dessa redan förut synnerligen invecklade frågor.</w:t>
        <w:br/>
        <w:br/>
        <w:t>Jag ber,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1425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