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330</w:t>
      </w:r>
    </w:p>
    <w:p>
      <w:r>
        <w:rPr>
          <w:b/>
        </w:rPr>
        <w:t xml:space="preserve">Datum: </w:t>
      </w:r>
      <w:r>
        <w:t>1919-04-09</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Herr talman! Herr Nilsson använde sig av ett sätt, som ofta visat sig mycket verksamt, i det han spelade ut landsortens intressen gent emot Stockholms i denna fråga. Jag tror dock, att man borde låta själva saken vara vad den vill vara. Det är ju så, att vi på senare tider försökt att särskilt uppmuntra det arbete, som bedrives inom husmoderskolorna, och jag tror, att jag kan säga, vad Stockholm beträffar, att Stockholms kommun icke undandragit sig att lämna betydliga anslag till denna verksamhet och således även anslag till ifrågavarande skola.</w:t>
        <w:br/>
        <w:br/>
        <w:t xml:space="preserve">Men jag skulle vilja påpeka, hurusom denna husmoderskola kanske mera än mången annan är förtjänt av understöd, därför att den satt såsom sin uppgift att bibringa </w:t>
      </w:r>
      <w:r>
        <w:rPr>
          <w:b/>
        </w:rPr>
        <w:t>fabriksarbeterskor³</w:t>
      </w:r>
      <w:r>
        <w:rPr>
          <w:b w:val="0"/>
        </w:rPr>
        <w:t xml:space="preserve"> kunskap i dessa viktiga ting. Man har alltid ansett det som en stor olycka, att de unga </w:t>
      </w:r>
      <w:r>
        <w:rPr>
          <w:b/>
        </w:rPr>
        <w:t>kvinnorna¹</w:t>
      </w:r>
      <w:r>
        <w:rPr>
          <w:b w:val="0"/>
        </w:rPr>
        <w:t xml:space="preserve"> i storstäderna dragas från sina hemsysslor till fabriksväsendet. Nu gör sig denna skola till tolk för strävanden i motsatt riktning. Och även för dem, som stå kvar i fabriksarbetet, äger skolan den betydelsen, att då dessa </w:t>
      </w:r>
      <w:r>
        <w:rPr>
          <w:b/>
        </w:rPr>
        <w:t>flickor²</w:t>
      </w:r>
      <w:r>
        <w:rPr>
          <w:b w:val="0"/>
        </w:rPr>
        <w:t xml:space="preserve"> en gång, vanligen i rätt unga är, skola bilda egen familj, de komma till sitt nya stora värv rustade på ett helt annat sätt, än som skulle ha varit fallet, om de icke fått tillfälle att gå igenom så grundliga kurser i ett hems skötande som bestås dem i denna anstalt. Jag skulle därför vilja varmt och innerligt vädja till kammaren att icke minst från den synpnkt, jag nu berört, gå med på utskottets förslag.</w:t>
      </w:r>
    </w:p>
    <w:p>
      <w:pPr>
        <w:pStyle w:val="Heading2"/>
      </w:pPr>
      <w:r>
        <w:t>2. Olof Bergqvist (Högerns riksdagsgrupp, man)</w:t>
      </w:r>
    </w:p>
    <w:p>
      <w:r>
        <w:rPr>
          <w:b w:val="0"/>
        </w:rPr>
        <w:t>Det var herr Nilssons sista anförande som uppkallade mig. Han sade sig icke vilja bestrida det behjärtansvärda ändamål, som här förelåg, men han yttrade, att denna skola är en kommunal anstalt, och att den därför bör omhändertagas och finansieras av vederbörande kommun och icke av riksdagen. Han yttrade vidare, att vore skolan belägen i en landsort, skulle det icke kommit i fråga, att riksdagen genom anslag skulle täcka en brist, som tilläventyrs uppkommit i dess rörelse, men därför att skolan nu ligger i Stockholm, kunde ett sådant krav framställas. Jag vill dock framhålla, att det är skillnad mellan en anstalt, som ligger i landsorten och en anstalt, som ligger i huvudstaden. "Till huvudstaden kommer det folk från alla delar av</w:t>
        <w:br/>
        <w:br/>
        <w:t>landet, och det har också här av en talare, herr Strömberg, framhållits, att det är icke blott elever från Stockholms stad, som besöka denna husmoderskola, utan att den besökes av elever från hela landsorten. Därför finns det ett visst fog för att riksdagen inskrider hjälpande, då skolans ekonomi har blivit sådan, som den är. Det är upplyst, att den brist, som förefinnes på grund av 1918 års rörelse, uppgår till nära 21,000 kronor. Det som av Kungl. Maj:t begärts såsom bidrag till täckande av denna brist " utgör 2,000 kronor. Motionsvis har begärts 6,000 kronor, och skolöverstyrelsen har efter omprövning föreslagit 3,000 kronor. Utskottet har följt överstyrelsens förslag, och om riksdagen nu skulle bevilja detta bidrag, 3,000 kronor, utgör det en jämförelsevis ringa procent av den uppkomna bristen.</w:t>
        <w:br/>
        <w:br/>
        <w:t>Jag finner det därför billigt, att riksdagen träder emellan med detta belopp, så att icke skolans verksamhet på grund av brist på medel äventyras.</w:t>
        <w:br/>
        <w:br/>
        <w:t>Jag ber alltså att få yrka bifall till utskottets förslag.</w:t>
      </w:r>
    </w:p>
    <w:p>
      <w:pPr>
        <w:pStyle w:val="Heading2"/>
      </w:pPr>
      <w:r>
        <w:t>3. Värner Ryden (Socialdemokraterna, man)</w:t>
      </w:r>
    </w:p>
    <w:p>
      <w:r>
        <w:rPr>
          <w:b w:val="0"/>
        </w:rPr>
        <w:t xml:space="preserve">Herr greve och talman! Det må i anledning av herr Johan Nilssons anförande tillåtas mig att lämna ett par uppgifter. Det är ju så, om jag minnes rätt, att i hela riket icke finnas fullt tio skolor av denna beskaffenhet. Utanför Stockholm ägas i allmänhet dessa skolor av vederbörande kom- EN eller landsting, som på ett eller annat sätt tagit hand om em. 1917 eller 1918 var, om jag minnes rätt, första året som staten på något sätt tog band om denna skolform, som dittills helt och ållet uppburits av enskilda sammanslutningar. Det har framför allt varit ett antal behjärtade </w:t>
      </w:r>
      <w:r>
        <w:rPr>
          <w:b/>
        </w:rPr>
        <w:t>kvinnor¹</w:t>
      </w:r>
      <w:r>
        <w:rPr>
          <w:b w:val="0"/>
        </w:rPr>
        <w:t>, som hållit denna rörelse uppe genom att anordna basarer och genom att på enskild väg bringa samman nödiga medel. Det är i dessa förhållanden man har att söka anledningen till att den religiösa förening, som här är i fråga, tagit hand om rörelsen på en tid, då staten icke gjorde något därför. Man bör heller icke klandra Stockholms stad för bristande intresse, ty Stockholms stad har bättre än någon annan stad sörjt för yrkesundervisningen på en tidpunkt, då staten icke icke alls lade hand vid denna undervisning Genom antagandet av fjolårets lag om ungdomsskolor har denna del av undervisningen nu lagts om på helt andra linjer. Denna grupp av husmoderskolor, är jämförlig med den grupp av yrkesskolor, som faller under beteckningen »&gt;fullständiga lärlingsskolor», och kommer således in under fullt ordnade förhållanden. Därigenom blir hela problemet i viss mån av riksdagen löst, och det blir ordnat för dessa skolor för framtiden. Det är ur dessa synpunkter som jag låtit mina betänkligheter fara och icke fruktar för att anslaget skall komma att bliva något prejudikat, enär på grund av fjolårets riksdagsbeslut om ordnandet av dessa ungdomsskolor saken har fått sin lösning.</w:t>
      </w:r>
    </w:p>
    <w:p>
      <w:pPr>
        <w:pStyle w:val="Heading2"/>
      </w:pPr>
      <w:r>
        <w:t>4. Nils Åkesson (Lantmannapartiet, man)</w:t>
      </w:r>
    </w:p>
    <w:p>
      <w:r>
        <w:rPr>
          <w:b w:val="0"/>
        </w:rPr>
        <w:t>Det är intet tvivel om att det nedlagts mycket arbete från deras sida, som verkat för skolan. Men - är icke övertygad om att det är statens plikt att här träda emellan och fylla den brist, som uppstått. Ser man på hur bristen uppkommit, så synes det mig, som om skolans verksamhet gått dåligt, emedan elevernas avgifter varit för låga. Skolans verksamhet har ju också bland annat bestått i att tillhandahålla mat åt dem, vilka vänt sig till skolan, och denna matservering har skett mot mycket billiga pris. Detta är ju mycket vackert, och åtskilliga personer hava också begagnat sig av mathållningen till dylika pris. Men då det kalkylerats så illa med mathållningen, att resultatet av affären blivit det nu nämnda, kan jag icke riktigt inse, att det är statens plikt att här träda emellan och täcka bristen.</w:t>
        <w:br/>
        <w:br/>
        <w:t>Det är dessa synpunkter, som varit avgörande för mig, då jag anslutit mig till reservationen, och jag kan icke hjälpa att jagfortfarande måste vidbliva reservanternas avslagsyrkande.</w:t>
        <w:br/>
        <w:br/>
        <w:t>ning förbundna förmåner såsom rätt till sjukhjälp, semester och pension.</w:t>
      </w:r>
    </w:p>
    <w:p>
      <w:pPr>
        <w:pStyle w:val="Heading2"/>
      </w:pPr>
      <w:r>
        <w:t>5. Carl Lindhagen (–, man)</w:t>
      </w:r>
    </w:p>
    <w:p>
      <w:r>
        <w:rPr>
          <w:b w:val="0"/>
        </w:rPr>
        <w:t xml:space="preserve">När det gällt att anställa manlig personal i statens verk och inrättningar, har alltid setts till, att man inte glömt bort några personer, utan de ha överallt fått sina behöriga anställningar. </w:t>
      </w:r>
      <w:r>
        <w:rPr>
          <w:b/>
        </w:rPr>
        <w:t>Kvinnorna¹</w:t>
      </w:r>
      <w:r>
        <w:rPr>
          <w:b w:val="0"/>
        </w:rPr>
        <w:t xml:space="preserve"> ha emellertid, på grund av att de icke haft någon rösträtt i samhället, blivit åsidosatta och fått existera så gott de kunnat. De </w:t>
      </w:r>
      <w:r>
        <w:rPr>
          <w:b/>
        </w:rPr>
        <w:t>kvinnliga¹</w:t>
      </w:r>
      <w:r>
        <w:rPr>
          <w:b w:val="0"/>
        </w:rPr>
        <w:t xml:space="preserve"> befattningshavarna hava därför under långliga tider icke hatt någon fast anställning. Nu ha omsider de </w:t>
      </w:r>
      <w:r>
        <w:rPr>
          <w:b/>
        </w:rPr>
        <w:t>kvinnliga¹</w:t>
      </w:r>
      <w:r>
        <w:rPr>
          <w:b w:val="0"/>
        </w:rPr>
        <w:t xml:space="preserve"> skrivbiträdena blivit i verken någorlunda tillgodosedda, utan att man gjort något för dem, som äro utanför dessa verk. Det återstår naturligtvis städerskorna, som, enär de äro de lägsta befattningshavarna, varit mest i behov av en verklig fast anställning, men därför att de varit </w:t>
      </w:r>
      <w:r>
        <w:rPr>
          <w:b/>
        </w:rPr>
        <w:t>kvinnor¹</w:t>
      </w:r>
      <w:r>
        <w:rPr>
          <w:b w:val="0"/>
        </w:rPr>
        <w:t>, så sågos de över axeln och ha icke fått någon fast anställning.</w:t>
        <w:br/>
        <w:br/>
        <w:t xml:space="preserve">Efter åtskilliga bemödanden har omsider riksdagen avlåtit en skrivelse om utredning rörande deras förhållanden, men märkligt att säga, har den begränsat denna utredning till att omfatta endast städerskor, anställda i de centrala ämbetsverken. Man kan fråga sig: varför det? Ja, det finns intet annat skäl, än att statsutskottet tyckt att man borde inskränka sig till detta. Nu kan jag icke förklara detta annat än så, att det är vanligt, att förbisedda personer bliva godtyckligt behandlade. Städerskorna kunna icke göra sig gällande vid valtillfällen, vid strejktillfällen, vid revolutionstillfällen eller andra sådana tillfällen. Det kunna herrarna bättre göra med sin muskelstyrka, därför att man är rädd för dem, men man är icke rädd för städerskorna, och därför behandlas de verkligen något nonchalant. Då nu icke städerskorna i andra verk än i de centrala verken ha några målsmän i riksdagen, är det min plikt att fortfarande föra deras talan. Nu ojar sig statsutskottet ganska mycket därför, att man kommer igen år efter är, men det göra icke de städerskor, vilkas talan jag nu för, ty de tycka att det är riktigt, att man kommer tillbaka. Ja, utskottet har yttrat sig här i sin motivering så att man skulle kunna gå in på den. Men utskottet kommer till det resultatet omsider, »att riksdagen nu skulle, innan den sålunda begärda utredningen kommit till stånd, ånyo begära en liknande, ehuru än mera utvidgad sådan, synes utskottet icke lämpligt» Ja, så förskräckligt är det att bereda en sådan stackars människa som en </w:t>
      </w:r>
      <w:r>
        <w:rPr>
          <w:b/>
        </w:rPr>
        <w:t>kvinna¹</w:t>
      </w:r>
      <w:r>
        <w:rPr>
          <w:b w:val="0"/>
        </w:rPr>
        <w:t xml:space="preserve">, som är </w:t>
      </w:r>
      <w:r>
        <w:rPr>
          <w:b/>
        </w:rPr>
        <w:t>städerska³</w:t>
      </w:r>
      <w:r>
        <w:rPr>
          <w:b w:val="0"/>
        </w:rPr>
        <w:t xml:space="preserve"> rättvisa. Att giva </w:t>
      </w:r>
      <w:r>
        <w:rPr>
          <w:b/>
        </w:rPr>
        <w:t>henne²</w:t>
      </w:r>
      <w:r>
        <w:rPr>
          <w:b w:val="0"/>
        </w:rPr>
        <w:t xml:space="preserve"> rättvisa, det kan icke vara lämpligt, och det är ju vanligen riksdagens uppfattning. Här är emellertid ett medgivande, som icke funnits törut, och det är, att när utredningen kommit till stånd om de centrala ämbetsverken, kan det kanske lyftas litet på slöjan även för de andra verkan.</w:t>
        <w:br/>
        <w:br/>
        <w:t>Emellertid, vid sådant förhållande och när utskottet redan är på glid, yrkar jag bifall till motionen.</w:t>
      </w:r>
    </w:p>
    <w:p>
      <w:pPr>
        <w:pStyle w:val="Heading2"/>
      </w:pPr>
      <w:r>
        <w:t>6. Karl Ekman (Första kammarens nationella parti, man)</w:t>
      </w:r>
    </w:p>
    <w:p>
      <w:r>
        <w:rPr>
          <w:b w:val="0"/>
        </w:rPr>
        <w:t xml:space="preserve">Då riksdagen förut behandlat denna fråga och tagit position till den, är jag övertygad, att den tagit position icke av den anledningen, att det har varit fråga om </w:t>
      </w:r>
      <w:r>
        <w:rPr>
          <w:b/>
        </w:rPr>
        <w:t>kvinnor¹</w:t>
      </w:r>
      <w:r>
        <w:rPr>
          <w:b w:val="0"/>
        </w:rPr>
        <w:t xml:space="preserve"> och att det varit fråga om </w:t>
      </w:r>
      <w:r>
        <w:rPr>
          <w:b/>
        </w:rPr>
        <w:t>kvinnor¹</w:t>
      </w:r>
      <w:r>
        <w:rPr>
          <w:b w:val="0"/>
        </w:rPr>
        <w:t>, som socialt sett stått lågt. utan det har varit betänkligheter av helt annan art, betänkligheter ur rent saklig synpunkt, mot den anställning, som det här gäller. Det är så, som var och en vet, att det i stort sett gäller betattningshavare, som endast någon kortare tid på dagen och i många fall endast varannan och var tredje dag utföra arbete för staten någon viss tid på dagen. Sålunda personer, som hava sin huvudanställning på helt andra områden. Det finnes givetvisi denna grupp även flera, vars sysselsättning med städningsarbetet pägått längre tid av dagen. Nu påyrkade herr Lindhagen tidigare, att man skulle på detta område ävägabringa en utredning, som skulle omfatta alla dem, som hade sysselsättning av denna art för statens vidkommande. När vi behandlade den saken i statsutskottet och gjorde de undersökningar, som äro möjliga för ett utskott, kommo vi under fund med, att det fanns nog med detta arbete förknippade omständigheter, som kunde påkalla utredning i fråga om anställningsvillkor m. m. dylikt. Men när det gällde att åstadkomma en sådan form för detta förslag, att det var möjligt att tänka sig, att riksdagen skulle vara med därom, måste utskottet begränsa denna utredving till de i de centrala verken anställda. Av den utredning, som därvid skulle komma till stånd, finge man givetvis en bestämd uppfattning om problemet i övrigt. Om vi stått på motionärens ständpunkt och begärt den utredning han ville, så skulle den ha gällt hela landet, exempelvis städerskorna i landsstatshusen, i läroverken och för övrigt i varje expedition, där en statsanställds gärning utfördes, och där det sålunda gällt att för statens räkning» utföra städning. Det är uppenbart, att ett sådant utredningsyrkande icke kunnat vinna riksdagens bifall. Det var som sagt därför man begränsade detta förslag så, att utredning skulle kunna utföras inom skälig tid, och man tog då de befattningshavare, om vilka man hade anledning att tro, att deras anställning upptoge större delen av deras tid, och som sålunda kunde först ifrågakomma. Det är dessa skäl till begränsning av utredningen, som nu av motionären kallas för godtycklighet, hänsynslöshet m. m. dylikt.</w:t>
        <w:br/>
        <w:br/>
        <w:t>Jag skulle vilja göra en hemställan till herr Lindhagen. Herr Lindhagen har naturligtvis liksom varje riksdagsman rätt att sakligt kritisera varje utlåtande. Men att, när det gäller att fälla hårda omdömen, hårdare än någon annan inom riksdagen använder, så tycker man. att det icke borde vara representanten för humanismen, den nya humanismen som vill förfara på det sätt, herr Lindhagen använder i detta fall.</w:t>
        <w:br/>
        <w:br/>
        <w:t>Jag vill ånyo betona, att den begränsning av utredningen i</w:t>
      </w:r>
    </w:p>
    <w:p>
      <w:pPr>
        <w:pStyle w:val="Heading2"/>
      </w:pPr>
      <w:r>
        <w:t>7. Carl Lindhagen (–, man)</w:t>
      </w:r>
    </w:p>
    <w:p>
      <w:r>
        <w:rPr>
          <w:b w:val="0"/>
        </w:rPr>
        <w:t xml:space="preserve">Det är verkligen så, att nu börja </w:t>
      </w:r>
      <w:r>
        <w:rPr>
          <w:b/>
        </w:rPr>
        <w:t>kvinnorna¹</w:t>
      </w:r>
      <w:r>
        <w:rPr>
          <w:b w:val="0"/>
        </w:rPr>
        <w:t xml:space="preserve"> att kunna göra sig gällande — icke ännu vid strejktillfällen, ty de äro så dåligt organiserade — och det är väl därför omsider som riksdagen ingått med en skrivelse i detta ämne och som vi finna en reservation vid det nästföljande betänkandet. Man förstår då, att mitt omdöme fälldes om de äldre förhållandena, då denna maktutövning från </w:t>
      </w:r>
      <w:r>
        <w:rPr>
          <w:b/>
        </w:rPr>
        <w:t>kvinnornas¹</w:t>
      </w:r>
      <w:r>
        <w:rPr>
          <w:b w:val="0"/>
        </w:rPr>
        <w:t xml:space="preserve"> sida icke kunde äga rum.</w:t>
        <w:br/>
        <w:br/>
        <w:t>Vad det humanistiska angår, så innebär icke humanismen i sann mening, att man skall smeka en orättvisa mot åsidosatta, utan där gäller det att taga itu med hårdhandskarna, och det har varit en ständig kamp mot statsutskottet, innan det gick med om någonting alls. Det är endast vid sista tillfället, som det inträffat något. Men jag kan icke säga, att när man begär en utredning om alla städerskorna inom statens verk och det svaras, att det . får vara nog med de centrala verken, att det är humant mot städerskorna i de andra verken, och dä skola vi säga ifrån det. Herr Ekman säger, att det är så lätt att bjuda dem humanitet, men humaniteten ligger här vid detta tillfälle i att taga vara på deras rätt, som icke äro tillgodosedda, och därför måste man säga ifrån. Eljest tar det inte. Vad angår den nu ifrågasatta »skillnaden»&gt;, om jag får använda det uttrycket och herr Ekman icke blir stött, tycks det ligga något advokatoriskt i hans yttrande. Ty när det gällde skrivbiträdena, gjordes det icke någon skillnad, utan man tog med hela apparaten på en gång och tyckte det kunde gå för sig. Således menar jag, att det även nu går för sig att begära en utredning om hela apparaten. Lydelsen i utskottets utlätande — det har jag medgivit — är något litet förhoppningsfullare. Det ser ut, som det skulle finnas en möjlighet att komma</w:t>
        <w:br/>
        <w:br/>
        <w:t>efter med de andra, vilket icke förut blivit framhållet. Men även Ang. fast anom man nu antyder, att det är möjligt för dessa andra att komma ställning för efter, så är det icke humant mot dessa andra, ty de få vänta ännu stöderskor hos år kanske, innan de få komma till sin rätt. Ur dessa synpunkter ””Ha ber jag, herr talman, att i humanitetens intresse få yrka bifall = (rorts.)</w:t>
      </w:r>
    </w:p>
    <w:p>
      <w:pPr>
        <w:pStyle w:val="Heading2"/>
      </w:pPr>
      <w:r>
        <w:t>8. Carl Lindhagen (–, man)</w:t>
      </w:r>
    </w:p>
    <w:p>
      <w:r>
        <w:rPr>
          <w:b w:val="0"/>
        </w:rPr>
        <w:t>Här finnes en reservation, och då skall jag också tillåta mig begära votering, då jag icke velat besvära kammaren i bägge ärendena. Här är det fråga om skrivbiträdena hos domhavandena. Där är förhållandet, att man ordnat skrivbiträdesfrågan vid alla domstolar utom beträffande domstolarna på landet. Även rådstuvurätterna ha i stor utsträckning gjort det. Atmin-</w:t>
        <w:br/>
        <w:br/>
        <w:t>stone har Stockholms rådstuvurätt fullständigt genomfört den reformen, så att skrivbiträdena hos rådstuvurätten fått fast anställning, och det trots att de voro enskilt anställda förut och helt och hållet avlönade med sportler. Man har funnit en form för, hur denna anställning skulle äga rum. Nu återstår det skrivbiträdena hos domhavandena, och nu begäres endast utredning, om och i vad mån man skall anställa biträden, som hava stadigvarande sysselsättning och äro oundgängliga för verket, och som sålunda i likhet med skrivbiträdena i andra statens verk skulle få ett verkligt handtag av staten. Dessutom skulle de få av domhavandena givna löner, tillmätta efter viss taxa, en reglering, som i allmänhet icke bleve till nackdel för domhavandena utan snarare tvärtom, därför att staten finge träda emellan med en grundplåt samt pension, sjukoch semesterhjälp, som man icke kan lägga på domhavandena. Så är det ordnat vid Stockholms rådstuvurätt.</w:t>
        <w:br/>
        <w:br/>
        <w:t>Jag har åter fått påstötning från skrivbiträden att hjälpa dem, och det upprepas för varje gång, och jag vet, att de hava rätt. Saken kan låta utföra sig, om man vill, och därför har jag ansett det nödvändigt ur humanitetens synpunkt att komma tillbaka. Det har också till statsutskottet genom min bemedling inlämnats en petition från skrivbiträden, vilken dock icke är omnämnd i detta betänkande. Nu har genom en ny stadga av förra året gjorts en början till inrättande av ett em Hamasrd enes kansli i vissa fall. Man har där sålunda en förebild, hur det skall gå till, och det gäller alltså bara att få en påbyggnad på denna kansliinstitution. Ur dessa synpunkter ber jag få yrka bifall till den vid betänkandet fogade reservationen.</w:t>
      </w:r>
    </w:p>
    <w:p>
      <w:pPr>
        <w:pStyle w:val="Heading2"/>
      </w:pPr>
      <w:r>
        <w:t>9. Karl Ekman (Första kammarens nationella parti, man)</w:t>
      </w:r>
    </w:p>
    <w:p>
      <w:r>
        <w:rPr>
          <w:b w:val="0"/>
        </w:rPr>
        <w:t>Först vill jag i förbigående anmärka, vad jag antager, att varje ledamot av kammaren förstått, att min anmärkning om en egendomlig humanism icke gällde, att förslag av denna art framkomma, utan att det avsåg det omdöme rörande meningsmotståndarnas motiv, som fälldes i samband med arbetet för motionerna. Att humanismen i detta avseende skulle motivera orättvisa och oresonliga omdömen angående andras bevekelsegrunder har jag synnerligen svårt att förstå.</w:t>
        <w:br/>
        <w:br/>
        <w:t xml:space="preserve">Vad själva sakfrågan beträffar ligger ju denna så, att orsaken till att man icke kunnat vara med om att här föreslå riksdagen att vidtaga åtgärder för att bereda dessa skrivbiträden fast anställning — det gäller här både manliga och </w:t>
      </w:r>
      <w:r>
        <w:rPr>
          <w:b/>
        </w:rPr>
        <w:t>kvinnliga¹</w:t>
      </w:r>
      <w:r>
        <w:rPr>
          <w:b w:val="0"/>
        </w:rPr>
        <w:t xml:space="preserve"> skrivbiträden, ty det finns också manliga skrivbiträden på domsagokanslierna — är ju huvudsakligen, att det arbete, som dessa biträden utföra, åligger domarna, som därför uppbära sportler. Man har därför ansett, att det vore olämpligt att här vidtaga en förändring i de skrivbiträdens ställning, vilka utföra arbetet ifråga för domarnas räkning, annat än i samband med en förändring i domarnas rätt att uppbära sportler.</w:t>
        <w:br/>
        <w:br/>
        <w:t>Därtill har ju kommit, att behovet av dessa biträden hos</w:t>
        <w:br/>
        <w:br/>
        <w:t>olika domhavande varit så oerhört växlande. Hos somliga domare dng. fast anhar krävts en hel del biträden, hos andra domare icke något Jag ställning för ber att i detta avseende få anföra vad som, när denna fråga sist; gm, . öden</w:t>
        <w:br/>
        <w:br/>
        <w:t>behandlades i andra kammaren, sades av en ledamot. som tidigare kansli m. fl.</w:t>
        <w:br/>
        <w:br/>
        <w:t>under en lång följd av år varit lantdomare. Han yttrade i denna fråga följande: »Jag har någon erfarenhet på området, då jag i cirka femton år dels varit biträde och dels tjänstgjort som t. f. domhavande på landet. Jag skall tillåta mig vitsorda, att de förhållanden, varunder dessa biträden äro anställda, äro sådana, att det synes mig svårt att tänka mig, att de skulle kunna anställas som statstjänare. Det är därjämte ofta så, att någon medlem av häradshövdingens familj utför detta arbete. Jag tillåter mig nästan tro, att de ärade reservanterna stå rätt främmande för de förhållanden, under vilka dessa skrivbiträden äro anställda och areta».</w:t>
        <w:br/>
        <w:br/>
        <w:t>På den saken svarade då en av reservanterna: &gt;»Den föregående talaren har mycket rätt däri, att jag och min medreservant visserligen stå främmande för detta ämne. Men vi ha en motionär i frågan, vars sakkunskap räcker för oss alla, och det är på honom vi repliera.»</w:t>
        <w:br/>
        <w:br/>
        <w:t>Det var vid 1916 års riksdag.</w:t>
        <w:br/>
        <w:br/>
        <w:t>Vid 1917 års riksdag uppträdde herr Lindhagen själv i denna fråga och meddelade, hur frågan kommit upp, vilka studier, som han ägnat åt denna sak, och vad som alltså föranlett honom att väcka motion i ärendet. Herr Lindhagen yttrade därvid: &gt;Emellertid bar jag i fråga om dessa skrivbiträden icke säsom beträffande de andra (d. v. s. städerskorna) av mig själv kommit att tänka på dem, utan de ha gjort sig påminta. De ha kommit till mig och frågat: »har borgmästarn glömt bort oss?» Och det hade jag verkligen gjort. Men då de nu själva anmält sig, ville jag icke övergiva dem.&gt; |</w:t>
        <w:br/>
        <w:br/>
        <w:t>Efter en sådan utredning och på en sådan framställning från motionären och då det, som sagt, här gäller befattningshavare, vilka utföra detta arbete åt domarna, som ha skyldighet att låta utföra arbetet och som därför uppbära ersättning, kan det väl icke vara lämpligt och rimligt att nu begära en utredning rörande deras anställande som statstjänare utan att detta sker i samband med en omreglering av domarnas egen ställniog.</w:t>
        <w:br/>
        <w:br/>
        <w:t>Nu kommer ju härtill, att man väl icke rimligen kan, om man står på herr Lindhagens ståndpunkt, begränsa sitt yrkande till dessa på domsagokanslierna anställda, och det gör herr Lindhagen icke heller numera i sin motion. Samma skäl, som kunna anföras beträffande dessa, skulle kunna anföras i fråga om en massa andra, anställda bos exempelvis fögderiförvaltningens tjänstemän och hos en hel del andra tjänstemän. Nu har herr Lindhagen i år i sin motion ansett, att »finns det några sådana, böra också de vara med» De reservanter, som till en del följt herr Lindhagen, ha emellertid icke kunnat framställa ett så vittgående yrkande, utan de ha i sitt förslag hemställt, »att riksdagen ville</w:t>
        <w:br/>
        <w:br/>
        <w:t>Men hur kommer nu detta att ställa sig ur domhavandenas synpunkt? Det blir väl givetvis så, att varje domhavande kommer att hos sig, oavsett behovet därav, anställa biträden, som komma att bli vad man betecknar med helt anställda. Han kommer därigenom att få biträden fritt. Om han däremot anställer ett biträde endast delvis — jag menar, under förutsättninng att vi följa reservanternas förslag om »helt sysselsatta» — får domhavanden själv betala detta biträde.</w:t>
        <w:br/>
        <w:br/>
        <w:t>Det kan väl icke vara möjligt, att man på dylika direktiv verkligen företager en utredning, som förpliktar, ty ett utredningsdirektiv i detta avseende måste väl också i viss mån förplikta staten att gå vidare. Det anser man ju alltid ligga i ett utredningsyrkande.</w:t>
        <w:br/>
        <w:br/>
        <w:t>Jag tror därför, att i denna fråga kunna anföras så starka sakliga skäl för utskottets ståndpunkt, att jag förmodar, att kammaren kommer att följa utskottet. Andra kammaren har utan votering godkänt dess hemställan.</w:t>
        <w:br/>
        <w:br/>
        <w:t>Jag hemställer, herr talman,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