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1446</w:t>
      </w:r>
    </w:p>
    <w:p>
      <w:r>
        <w:rPr>
          <w:b/>
        </w:rPr>
        <w:t xml:space="preserve">Datum: </w:t>
      </w:r>
      <w:r>
        <w:t>1919-05-23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Då jag icke haft tillfälle att närvara i utskottet, när denna fråga behandlades, och således icke heller haft tillfälle att anteckna någon reservation, skall jag be att nu få säga några ord.</w:t>
        <w:br/>
        <w:br/>
        <w:t>I det utlåtande, som statskontoret avlämnat, citeras ett uttalande från 1917 av sakkunniga för det statsunderstödda pensionsväsendets centralisering, och av det uttalandet finner man, att dessa sakkunniga ansågo, att något borde göras för pensionering av icke ordinarie statstjänares änkor och barn. Man säger i slutet av detta utlåtande: »Över huvud synes det böra tagas i övervägande, om ej alla icke ordinarie statstjänare, som hava en mera fast anställning, borde erhålla rätt till såväl tjänstesom familjepension.» Och statskontoret slutar sitt utlåtande med följnade: »Med avseende å vad sålunda förekommit synes någon erinran icke kunna göras mot åvägabringande av utredning för beredande av rätt till familjepension för sådana icke ordinarie befattningshavare i statens tjänst, som själva redan erhållit eller kunna anses böra erhålla rätt till pen- Sion.»</w:t>
        <w:br/>
        <w:br/>
        <w:t xml:space="preserve">Trots dessa välvilliga och på visst sätt tillstyrkande utlåtanden såväl av de sakkunniga 1917 som av statskontoret har utskottet ändock enhälligt gått på avslag av denna herr Hages motion och även på den motion, som kommer härefter i samma ämne. Bankoutskottet har närmast stött sig på, att dessa befattningshavare såsom icke ordinarie icke ha egen pensionsrätt och att den saken borde ordnas först, innan man ordnar pensionsrätten för deras änkor och barn. Men jag undrar, om det visar sig vara förenat med svårigheter att nu på en gång ordna pensionsfrågan för dessa icke ordinarie själva, om man ändå icke kunde göra något för deras änkor och barn. Ty i många fall är det nog bra mycket bekymmersammare för dessa änkor och barn, som på ett tidigt stadium mista sin försörjare, än det många gånger är för de icke ordinarie statstjänarna själva, om de uppleva den ålder, då de eljest skulle ha erhållit pension. Dessa ha säkerligen i allmänhet mycket lättare att draga sig fram än en </w:t>
      </w:r>
      <w:r>
        <w:rPr>
          <w:b/>
        </w:rPr>
        <w:t>änka²</w:t>
      </w:r>
      <w:r>
        <w:rPr>
          <w:b w:val="0"/>
        </w:rPr>
        <w:t xml:space="preserve"> med sina barn, som lämnas ensamma, när familjefadern ryckes bort i unga år. Jag kan icke finna förhållandena här på något sätt tillfredsställande och att man icke vill göra någonting för dessa fattiga änkor och barn.</w:t>
        <w:br/>
        <w:br/>
        <w:t xml:space="preserve">Jag har ett alldeles färskt exempel på huru bekymmersamt det kan bli för en </w:t>
      </w:r>
      <w:r>
        <w:rPr>
          <w:b/>
        </w:rPr>
        <w:t>änka²</w:t>
      </w:r>
      <w:r>
        <w:rPr>
          <w:b w:val="0"/>
        </w:rPr>
        <w:t xml:space="preserve"> och </w:t>
      </w:r>
      <w:r>
        <w:rPr>
          <w:b/>
        </w:rPr>
        <w:t>hennes²</w:t>
      </w:r>
      <w:r>
        <w:rPr>
          <w:b w:val="0"/>
        </w:rPr>
        <w:t xml:space="preserve"> barn, därför att denna fråga ännu ligger olöst. Helt nyligen avled hemma i mina trakter en kustroddare, som icke var ordinarie, och han efterlämnade en stor familj</w:t>
        <w:br/>
        <w:br/>
        <w:t xml:space="preserve">i mycket små omständigheter. Det har av en annan, ordinarie Ang. statstjänare därnere meddelats mig, att när </w:t>
      </w:r>
      <w:r>
        <w:rPr>
          <w:b/>
        </w:rPr>
        <w:t>änkan²</w:t>
      </w:r>
      <w:r>
        <w:rPr>
          <w:b w:val="0"/>
        </w:rPr>
        <w:t xml:space="preserve"> efter denne man å oissa cn ör har förbrukat de hundra kronor </w:t>
      </w:r>
      <w:r>
        <w:rPr>
          <w:b/>
        </w:rPr>
        <w:t>hon²</w:t>
      </w:r>
      <w:r>
        <w:rPr>
          <w:b w:val="0"/>
        </w:rPr>
        <w:t xml:space="preserve"> får i begravningshjälp. så står och barn efter </w:t>
      </w:r>
      <w:r>
        <w:rPr>
          <w:b/>
        </w:rPr>
        <w:t>hon²</w:t>
      </w:r>
      <w:r>
        <w:rPr>
          <w:b w:val="0"/>
        </w:rPr>
        <w:t xml:space="preserve"> med alla sina små barn utan det minsta ekonomiska stöd från staistjänare. något håll och har mycket svårt att få någonting av staten i under- = (Forts) stödsväg. Möjligen skulle </w:t>
      </w:r>
      <w:r>
        <w:rPr>
          <w:b/>
        </w:rPr>
        <w:t>hon²</w:t>
      </w:r>
      <w:r>
        <w:rPr>
          <w:b w:val="0"/>
        </w:rPr>
        <w:t xml:space="preserve"> kunna få det om ett eller annat år. När man nu vet, stt denna grupp av statstjänare ofta rekryteras från yngre dugliga fiskare, så förstår man, huru bittert det skall vara för denna </w:t>
      </w:r>
      <w:r>
        <w:rPr>
          <w:b/>
        </w:rPr>
        <w:t>änka²</w:t>
      </w:r>
      <w:r>
        <w:rPr>
          <w:b w:val="0"/>
        </w:rPr>
        <w:t xml:space="preserve">. Ty om denne fiskare, som varit extra ordinarie kustroddare i några år, blivit kvar i stället vid sitt hantverk, så skulle han nu ha kunnat efterlämna kanske 20,000 eller 30,000 kronor, vilket belopp många av dessa fiskare under dessa tider ha kunnat skrapa ihop. Och detta får </w:t>
      </w:r>
      <w:r>
        <w:rPr>
          <w:b/>
        </w:rPr>
        <w:t>hon²</w:t>
      </w:r>
      <w:r>
        <w:rPr>
          <w:b w:val="0"/>
        </w:rPr>
        <w:t xml:space="preserve"> nu avstå, därför att </w:t>
      </w:r>
      <w:r>
        <w:rPr>
          <w:b/>
        </w:rPr>
        <w:t>hennes²</w:t>
      </w:r>
      <w:r>
        <w:rPr>
          <w:b w:val="0"/>
        </w:rPr>
        <w:t xml:space="preserve"> man övergett sitt yrke och i stället blivit en plikttrogen statstjänare. Vid sådant förhållande finner jag det smärtsamt, att utskottet icke kunnat säga något välvilligt om denna sak, utan endast gått på den linjen, att man först skall ordna dessa extraordinaries egen pensionering och sedan deras änkors och barns. Då förstår man, huru långt fram i tiden denna fråga kommer att uppskjutas. Och dessutom är det nog icke till gagn för rekryteringen av dessa grupper av extraordinarie, som kanske icke på många år ha utsikt att bliva ordinarie om ens någonsin. Och t. ex. dessa extra kustroddare ha mycket svårt att någonsin kunna bliva ordinarie. Jag tycker, att det mycket väl kunde ha gått för sig att ordna pensioneringen för dessa änkor och barn och sedan i sinom tid, när det blir möjligt, ordna det för pensionsägarna själva. Med stöd av vad jag anfört, herr talman, ber jag att få yrka avslag på utskottets förslag och bifall till herr Hages motion.</w:t>
      </w:r>
    </w:p>
    <w:p>
      <w:pPr>
        <w:pStyle w:val="Heading2"/>
      </w:pPr>
      <w:r>
        <w:t>2. unknown (–, –)</w:t>
      </w:r>
    </w:p>
    <w:p>
      <w:r>
        <w:rPr>
          <w:b w:val="0"/>
        </w:rPr>
        <w:t>Herr talman! Jag ber att få försäkra den föregående talaren, att utskottet känt lika djupt för de personer, det här gäller, som både motionären och han ha giort.. Och den, som något följt bankoutskottets verksamhet, måste erkänna, att vi ställt oss ganska välvilliga, när det gällt änkor och barn. Men det finns dock vissa situationer, då det icke kan vara tillrådligt att förorda en skrivelse. Så är det i detta fall. Vi ha nämligen gått ut från, att skulle en generell pensionering av änkor och barn komma i frå- £a, så böra dessa pensioner grundas på pensionsavgifter från befattningshavarna. Som vi nu ha det, är vårt pensionsväsen rätt så splittrat. Därför möter det mycket stora svårigheter att i de olika pensionskassorna inarbeta förslag med rätt för icke ordinarie statstjänare att bliva delägare i dessa pensionskassor. Vi ha ju, som alla ha sig bekant, en kungl. kommitté, som nu håller på att utreda frågan om en centralisering av de statsunderstödda pensionsanstalterna. Denna kommitté har snart slutfört sitt arbete, och vi få hoppas, att resultatet av detta kommer att 1 en mycket snar framtid föreläggas riksdagen. När en sådan centralisering har kommit till stånd, blir det ju mycket lätt att i stadgarna för denna pensions-</w:t>
        <w:br/>
        <w:br/>
        <w:t>anstalt inarbeta just de grunder, som äro behövliga, för att dessa</w:t>
        <w:br/>
        <w:br/>
        <w:t>pensionsrätt +cke ordinarie skola kunna bliva delägare i dessa kassor.</w:t>
        <w:br/>
        <w:br/>
        <w:t>Det är därför enligt min uppfattning icke motiverat att nu be-</w:t>
        <w:br/>
        <w:br/>
        <w:t>Jag har dessutom fäst mig vid en passus i motionärens framställning, däri han säger: »Ett sådant missförhållande bör snarast rättas genom en ändring, som giver även nämnda icke ordinarie statstjänares efterlevande en pension, som åtminstone är så stor, att den motsvarar vad de ordinarie statstjänarnas änkor och barn erhålla i statsandel.&gt; Jag finner av denna passus, att han går ut från, att det skulle vara möjligt att även utan bidrag av pensionstagaren få en viss. pension av statsmedel. Men när det gäller en generell pensionering, kan jag icke på några villkor dela motionärens uppfattning i denna del, utan jag anser, att detta bör endast komma i fråga såvitt pensionstagarna själva erlägga avgift. Eljest skulle man ju komma till det resultatet, att det i vissa fall tilldelas pension, där det icke förelåg något behov, oaktat tjänstehavarna själva icke erlagt några avgifter. När det gäller pensionering av dem, som icke själva erlagt några avgifter, bör ju riksdagen i varje enskilt fall få bedöma för det första arten av den tjänst, befattningshavaren gjort staten, och för det andra det föreliggande behovet.</w:t>
        <w:br/>
        <w:br/>
        <w:t>När vi således i en mycket nära framtid helt säkert få en centralisering av pensionsväsendet, så anser jag det för närvarande icke tillrådligt att förorda en sådan skrivelse, som motionären föreslår, och jag skall. därför, herr talman, be att få yrka bifall till utskottets hemställan.</w:t>
      </w:r>
    </w:p>
    <w:p>
      <w:pPr>
        <w:pStyle w:val="Heading2"/>
      </w:pPr>
      <w:r>
        <w:t>3. Malte Sommelius (Lantmanna- och borgarepartiet inom andrakammaren, man)</w:t>
      </w:r>
    </w:p>
    <w:p>
      <w:r>
        <w:rPr>
          <w:b w:val="0"/>
        </w:rPr>
        <w:t>Herr talman! När jag begärde ordet, visste jag icke, att herr Edbom förut begärt ordet för att uttala sig i ärendet. Det kunde därför vara onödigt, att även jag yttrar mig. Jag skall blott tillägga ett par ord till vad den föregående talaren sagt.</w:t>
        <w:br/>
        <w:br/>
        <w:t xml:space="preserve">Det är säkert icke-obekant för herr Lovén, huru ytterst välvilligt bankoutskottet ställt sig till alla pensionsansökningar, även sådana som äro synnerligen tvivelaktiga. Och känner jag utskottet rätt, skulle det icke ha slagit dövörat till för en framställning om pension för den </w:t>
      </w:r>
      <w:r>
        <w:rPr>
          <w:b/>
        </w:rPr>
        <w:t>änka²</w:t>
      </w:r>
      <w:r>
        <w:rPr>
          <w:b w:val="0"/>
        </w:rPr>
        <w:t>, som herr Lovén omnämnde och som blivit ensam med stugan full av barn. Därom är nog också herr Lovén själv övertygad.</w:t>
        <w:br/>
        <w:br/>
        <w:t>Nu är det ju så, att den nu förflutna riksdagen har i hög grad sysselsatts med pensionsfrågor i alla möjliga former. Icke blott utskottet utan även Kungl. Maj:t har gjort så många framställningar, så att om man icke på de skäl herr Edbom framfört kunnat göra någonting i den här frågan, så är det sannerligen icke att undra på, om utskottet i detta fall icke vågat taga steget fullt ut och tillstyrka, att riksdagen skulle skriva till Kungl. Maj:t i ärendet.</w:t>
        <w:br/>
        <w:br/>
        <w:t>Jag anhåller, herr talman, att få ansluta mig till yrkandet om Ang. bifall till utskottets hemställan. rdr och barn efter</w:t>
      </w:r>
    </w:p>
    <w:p>
      <w:pPr>
        <w:pStyle w:val="Heading2"/>
      </w:pPr>
      <w:r>
        <w:t>4. unknown (–, –)</w:t>
      </w:r>
    </w:p>
    <w:p>
      <w:r>
        <w:rPr>
          <w:b w:val="0"/>
        </w:rPr>
        <w:t>Herr talman! De båda sista ärade talarna statstjänare. ha framhållit som ett förmildrande moment, att bankoutskottet i = (Forts.) regel är så välvilligt mot alla framställningar 1 pensionsfrågor, som komma dit. Ja, det vet jag. Och själv försöker jag att vara så välvillig som möjligt. Men om bankoutskottet gör hundra välvilliga saker, så får det väl därför icke förlåtelse, om det gör en sak dåligt. Jag menar, att om bankoutskottet hela tiden varit välvilligt, så skall det icke sluta med att i denna sak, som enligt min mening är fullt lika behjärtansvärd, vara så orättvis och brutal mot dessa fattiga änkor och barn.</w:t>
        <w:br/>
        <w:br/>
        <w:t>När herr Edbom anmärkte, att dessa själva borde betala till sin pensionering, så är ju det alldeles riktigt. Men var står det annat i motionen? Det står, att det skulle utredas, »huruvida och på vilket sätt» dessa änkor och barn skulle kunna erhålla rätt till pension. Motionären har ju icke på ett enda ställe i motionen påpekat, att han icke vill vara med om att de skola betala till sin pension. Men han vill, att det skall utredas, huruvida och på vad sätt de skulle kunna erhålla rätt till pension. Det är det jag icke förstår, att bankoutskottet skall motsätta sig. Ty även om den centralisering av pensionsväsendet, varom herr Edbom talade, kommer till stånd, så kan det ju icke skada, om också en utredning om huru dessa änkor och barn skola få pension hade legat färdig, när utredningen av centraliseringen kommer fram. Det är så mycket, som fått ligga tillbaka och väntat och väntat, så att det skulle nog icke skada, om det ginge litet fortare med ordnandet av alla dessa fattiga änkors och barns pensionsförhållanden. Bankoutskottet har ju varje år att behandla massor av ansökningar om pension för dessa c svältande änkor och barn efter f. d. statstjänare, som icke fått någon pension. Det resonemanget förrycker enligt min mening icke frågan, utan jag tycker, att man väl borde ha kunnat utreda frågan, huru dessa änkor och barn skulle kunna få pension.</w:t>
      </w:r>
    </w:p>
    <w:p>
      <w:pPr>
        <w:pStyle w:val="Heading2"/>
      </w:pPr>
      <w:r>
        <w:t>5. Ulrik Leander (Frisinnade folkpartiet, man)</w:t>
      </w:r>
    </w:p>
    <w:p>
      <w:r>
        <w:rPr>
          <w:b w:val="0"/>
        </w:rPr>
        <w:t>Herr talman, mina herrar! Min föreliggande motion sammanfaller i stort med den nyss behandlade, av herr Hage väckta motionen. Ty även i min motion</w:t>
        <w:br/>
        <w:br/>
        <w:t>hemställes om utredning rörande pensionering av vissa statstjänaränkor jämte deras minderåriga barn. För att icke onödigtvis förlänga diskussionen här skall jag därför inskränka mig till att instämma i vad herr Lovén nyss yttrat vid behandlingen av herr Hages motion. Jag skall bara tillägga, att det krav, som framföres 1 dessa båda motioner, låter sig nog icke på längden avvisas, utan frågan kommer oupphörligen igen. Det hade därför varit önskvärt, att utskottet ägnat denna fråga litet mer uppmärksamhet än som skett och tagit itu först som sist med frågans lösning. Jag skall ingalunda förebrå utskottet, att det nitälskat för vissa tjänstemän och lägger sig i selen för att skaffa dessa drägliga löner. Men jag vågar påstå, att det är lika behjärtansvärt att skaffa dessa fattiga änkor och deras barn en brödbit.</w:t>
        <w:br/>
        <w:br/>
        <w:t xml:space="preserve">Nu berömmer sig ju utskottet av att det alltid är välvilligt mot dessa änkor och barn. Men det är icke nog med att bara säga, att man är det, och tala vackert, utan man bör också visa det i handling. Och jag menar, att denna gång svär utskottets handlingar mot de vackra orden. Jag tycker det skulle ha varit en heder för oss män, om vi ordnat denna fråga, innan </w:t>
      </w:r>
      <w:r>
        <w:rPr>
          <w:b/>
        </w:rPr>
        <w:t>kvinnorna¹</w:t>
      </w:r>
      <w:r>
        <w:rPr>
          <w:b w:val="0"/>
        </w:rPr>
        <w:t xml:space="preserve"> marschera in i riksdagen och intaga de platser, där vi nu sitta. Emellertid är det en tröst att veta, att när de komma in här, så komma dessa fattiga änkor och barn att vinna behjärtande.</w:t>
        <w:br/>
        <w:br/>
        <w:t>Sådan som frågan nu ligger, skall jag, herr talman, icke tilllåta mig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