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364</w:t>
      </w:r>
    </w:p>
    <w:p>
      <w:r>
        <w:rPr>
          <w:b/>
        </w:rPr>
        <w:t xml:space="preserve">Datum: </w:t>
      </w:r>
      <w:r>
        <w:t>1920-04-17</w:t>
      </w:r>
    </w:p>
    <w:p>
      <w:r>
        <w:rPr>
          <w:b/>
        </w:rPr>
        <w:t xml:space="preserve">Kammare: </w:t>
      </w:r>
      <w:r>
        <w:t>Första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Halfred von Koch (–, man)</w:t>
      </w:r>
    </w:p>
    <w:p>
      <w:r>
        <w:rPr>
          <w:b w:val="0"/>
        </w:rPr>
        <w:t xml:space="preserve">Jag skall be att få säga ett par ord med anledning av det yrkande, som herr Reuterskiöld gjort om avslag på paragrafen i dess helhet. Jag har litet svårt att förstå anledningen till detta yrkande. Det är ju i alla fall så, att man icke kunnat undvika att det allmänna inblandar sig i hemmets angelägenheter. Redan nu har ju — t. ex. genom en särskild lag — barnavårdsnämnden rättighet att skilja ett vanartat eller sedligt försummat barn från hemmet, om så skulle befinnas av behovet påkallat, och man kan ju genom en annan lagstiftning i en alkoholistanstalt internera en make, mannen eller </w:t>
      </w:r>
      <w:r>
        <w:rPr>
          <w:b/>
        </w:rPr>
        <w:t>hustrun²</w:t>
      </w:r>
      <w:r>
        <w:rPr>
          <w:b w:val="0"/>
        </w:rPr>
        <w:t>, om de genom dryckenskap befinnas på detta sätt böra omhändertagas. Detta är ett ingripande, som är djupt ingripande i hemlivet, men det är väl ingen, som egentligen kan motsätta sig detsamma, utan alla måste väl erkänna, att det är lämpligt. Men huru det då kan vara lämpligt, som reservanten nu föreslår, att man icke skulle kunna</w:t>
        <w:br/>
        <w:br/>
        <w:t xml:space="preserve">använda sig av domstols ingripande, när försörjningsplikten grovt vanvårdas, det förefaller mig ändå ganska egendomligt. Som det för närvarande är, måste man begagna sig av en omgång, innan man egentligen kan råda bot på ett missförhållande sådant som detta. Man måste vänta, tills familjen befinner sig i en sådan nöd, att fattigvård måste lämnas, och först då kan man ingripa och lämna understöd och får då anledning att taga hand om den, som egentligen skulle försörja hemmet. Jag tror, att jag kan säga, att det är en allmän uppfattning bland dem, som hava att försöka råda bot och hjälpa de s. k. söndertrasade äktenskapen, att man borde kunna få en bekvärnare och mera direkt verkande åtgärd i detta avseende. Ett sådant medel erbjudes nu i denna $ 5. </w:t>
      </w:r>
      <w:r>
        <w:rPr>
          <w:b/>
        </w:rPr>
        <w:t>Hustrun²</w:t>
      </w:r>
      <w:r>
        <w:rPr>
          <w:b w:val="0"/>
        </w:rPr>
        <w:t xml:space="preserve"> skall nu kunna vända sig till domstolen för att av mannen kunna erhålla ett bestämt bidrag till familjens underhåll. Man kan visserligen anmärka, att en sådan här rättighet för </w:t>
      </w:r>
      <w:r>
        <w:rPr>
          <w:b/>
        </w:rPr>
        <w:t>hustrun²</w:t>
      </w:r>
      <w:r>
        <w:rPr>
          <w:b w:val="0"/>
        </w:rPr>
        <w:t xml:space="preserve"> eller mannen — det gäller även honom — kan i någon mån missbrukas. Men jag vill påminna om att det gäller endast, när det är fråga om uppenbar försummelse. Det är sålunda icke fråga om något tillfälligt otillfredsställande sätt att fullgöra sin plikt, som försörjaren har gjort sig skyldig till, utan det gäller först när en försummelse gjort sig gällande under en längre tid. Det må dessutom anmärkas, att det helt naturligt så är förhållandet, att en </w:t>
      </w:r>
      <w:r>
        <w:rPr>
          <w:b/>
        </w:rPr>
        <w:t>hustru²</w:t>
      </w:r>
      <w:r>
        <w:rPr>
          <w:b w:val="0"/>
        </w:rPr>
        <w:t xml:space="preserve"> i det längsta drager sig för att gå denna radikala väg att hos domstol försöka göra någon hemställan i denna riktning. Jag ber få säga, att det icke är någon teoretisk uppfattning, jag här företräder, utan jag har på åtskilliga håll — icke minst inom nykterhetsnämndens arbete — funnit, att det, här skulle vara en mycket stor fördel, om mannen kunde få klart för sig, att, om han försörjer sin familj otillfredsställande, så finnes det effektiva åtgärder, som kunna tillgripas för att ordna förhållandet tillfredsställande. Det är i allmänhet förvånande, huru oklara begreppen äro på det här området i fråga om underhållsskyldigheten och makarnas ömsesidiga skyldigheter. Jag tror emellertid, det är att förvänta, att dessa bestämmelser om underhållsskyldighet, som meddelas i denna paragraf, och de övriga bestämmelser, som gälla underhållsskyldigheten — om de nu bliva antagna, som de finnas här i lagförslaget — skola verka uppfostrande på den, som icke är sinnad att på ett tillfredsställande sätt fylla sina skyldigheter. .</w:t>
        <w:br/>
        <w:br/>
        <w:t>Det är med anledning av dessa synpunkter, och, då jag på det här området har någon liten erfarenhet, som jag ansett mig kunna taga kammarens tid i anspråk och jag anhåller nu, herr talman, att få yrka bifall till utskottets hemställan.</w:t>
        <w:br/>
        <w:br/>
        <w:t>Efter härmed slutad överläggning gjordes enligt därunder framkomna yrkanden propositioner, först på godkännande av samt vidare på avslag å nu föredragna paragraf; och förklarades den förra propositionen, vilken upprepades, vara med övervägande ja besvarad.</w:t>
        <w:br/>
        <w:br/>
        <w:t>Lördagen den 17 april, e. m. ö derhåll haft utgifter, som uppenbarligen överstiga vad enligt 2 $&amp; ålegat honom för underhållet tillskjuta, äge han, om ej annat avtalats eller med hänsyn till omständigheterna får antagas vara avsett, av andra maken utfå ersättning för vad av sagda utgifter må anses belöpa på denne. ö</w:t>
        <w:br/>
        <w:br/>
        <w:t>Rätt till ersättning må ej göras gällande av annan än den ersät!- ningsberättigade själv, ej heller i den ersättningsskyldiges konkurs.</w:t>
      </w:r>
    </w:p>
    <w:p>
      <w:pPr>
        <w:pStyle w:val="Heading2"/>
      </w:pPr>
      <w:r>
        <w:t>2. Jacob Spens (Första kammarens nationella parti, man)</w:t>
      </w:r>
    </w:p>
    <w:p>
      <w:r>
        <w:rPr>
          <w:b w:val="0"/>
        </w:rPr>
        <w:t xml:space="preserve">Herr greve och talman, mina herrar! Vid denna paragraf har reservation anförts av mig och ett par andra ledamöter av utskottet, vilka yrka, att paragrafen måtte utgå ur lagen. Den årliga avräkning mellan makar, som enligt denna paragraf bör hållas, om bägge makarna haft utgifter för familjens underhåll, kan enligt vår mening lätt föranleda misshälligheter mellan makarna, även i eljest lyckliga äktenskap. Stadgandet kan alstra misstanke eller uppfattning hos </w:t>
      </w:r>
      <w:r>
        <w:rPr>
          <w:b/>
        </w:rPr>
        <w:t>hustrun²</w:t>
      </w:r>
      <w:r>
        <w:rPr>
          <w:b w:val="0"/>
        </w:rPr>
        <w:t xml:space="preserve">, att mannen tillgodoser sig på </w:t>
      </w:r>
      <w:r>
        <w:rPr>
          <w:b/>
        </w:rPr>
        <w:t>hennes²</w:t>
      </w:r>
      <w:r>
        <w:rPr>
          <w:b w:val="0"/>
        </w:rPr>
        <w:t xml:space="preserve"> bekostnad och tvärtom. För en sådan avräkning, varom här är fråga, fordras även värdesättning av </w:t>
      </w:r>
      <w:r>
        <w:rPr>
          <w:b/>
        </w:rPr>
        <w:t>hustruns²</w:t>
      </w:r>
      <w:r>
        <w:rPr>
          <w:b w:val="0"/>
        </w:rPr>
        <w:t xml:space="preserve"> verksamhet i hemmet. En dylik värdesättning är naturligtvis ganska svår att verkställa, och den bör enligt den mening, som vi reservanter hysa, undvikas, så vitt den ej är alldeles nödvändig, och det synes den här ej vara. Har den ena maken haft stora utgifter för hushållet, som betydligt överstiga, vad det enligt lagen ålegat honom att utgiva, kan nog lätt en överenskommelse träffas med andra maken, att denna skall gottgöra honom av sina medel, och då är ju, som lagparagrafen också tydligen angiver, en sådan här avräkning överflödig; men en anvisning i lagen att årligen uppgöra avräkning synes oss ej böra finnas. En sådan anvisning föranleder en mycket noggrannare avräkning än eljest och giver lätt anledning till missämja. Lagen skapar på detta sätt oavsiktligt tvister mellan makarna. Jag vet visserligen, att de, som skrivit lagförslaget, insatt denna paragraf med huvudsaklig tanke på preskriptionstiden i andra momentet av paragratien, där det föreskrives, att talan om ersättning ej må väckas, sedan ett år förflutit efter utgången av det kalenderår, under vilket utgifterna ägt rum. Man har velat förhindra, att borgenärer eller den andra maken efter en längre tids förlopp skall riva upp saken. Emellertid blir en bevisning för en längre tid mycket svår att åstadkomma, och förlikning kommer därför i regel att träffas. I varje fall blir det endast i rena undantagsfall, som process kommer att föras, och man synes då ej böra i lagen göra en anvisning, vilken kan medföra sådana konsekvenser som denna. Blotta förekomsten av detta stadgande föranleda samvetsgranna makar att årligen göra upp avräkning. Utskottet har självt på sidan 11:i dess utlåtande förklarat, att här ett undantag gjorts från den allmänna regeln, att husliga tvister ej skola dragas inför domstol.</w:t>
        <w:br/>
        <w:br/>
        <w:t>Såsom herrarna sett av tidningarna, har även danska oj elinget oc är det också ett egendomligt förhållande att under bestående äktenskap, då giftorätten är latent och egentligen utgör en rent juridisk konstruktion, såsom förut i dag har utvecklats, domstol skall meddela utslag om vad, som skall tillhöra den ena eller andra makens giftorättsgods, och att utmätning på grund av detta utslag skall kunna ske hos den ena maken för den andras räkning. Sedermera, då makarnas bo upplöses genom dödsfall eller eljest och giftorätten skall göra sig faktiskt gällande, blir domen och utmätningen betydelselösa, ty då skall alltid boet delas lika meilan makarne eller mellan den ena maken och den andras arvingar. På grund av vad jag nu anfört, hemställer jag, herr talman, om avslag å utskottets förslag och bifall till den av mig anförda reservationen. ;j</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364</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