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383</w:t>
      </w:r>
    </w:p>
    <w:p>
      <w:r>
        <w:rPr>
          <w:b/>
        </w:rPr>
        <w:t xml:space="preserve">Datum: </w:t>
      </w:r>
      <w:r>
        <w:t>1920-05-29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Boberg (Första kammarens nationella parti, man)</w:t>
      </w:r>
    </w:p>
    <w:p>
      <w:r>
        <w:rPr>
          <w:b w:val="0"/>
        </w:rPr>
        <w:t>Av debatten har framgått, att alla äro »vänner» till statskyrkan, både motionären och de, som i utskottet yrkat bifall till hans hemställan och reservanterna. Alla vilja kyrkans bästa, därom råder ju sålunda inget tvivel; men när det gäller att förverkliga denna tanke i Jet levande praktiska livet, då skiljas vägarna åt. Då är vänskapen slut-</w:t>
        <w:br/>
        <w:br/>
        <w:t xml:space="preserve">Nu är det klart, att kyrkan har många synder på sitt samvete. Det ha vi nog litet var. När det gäller kyrkan, drager man fram, vad </w:t>
      </w:r>
      <w:r>
        <w:rPr>
          <w:b/>
        </w:rPr>
        <w:t>hon²</w:t>
      </w:r>
      <w:r>
        <w:rPr>
          <w:b w:val="0"/>
        </w:rPr>
        <w:t xml:space="preserve"> gjort eller uraktlåtit att göra sedan långa tider tillbaka, men man tänker, som den mycket ärade talaren på Stockholmsbänken sade, icke på kyrkan, sådan </w:t>
      </w:r>
      <w:r>
        <w:rPr>
          <w:b/>
        </w:rPr>
        <w:t>hon²</w:t>
      </w:r>
      <w:r>
        <w:rPr>
          <w:b w:val="0"/>
        </w:rPr>
        <w:t xml:space="preserve"> i dag är. Luther, från vilken Jen svenska kyrkan fått sitt namn sade: »Jag tror på syndernas förlåtelse.» Det behöva vi litet var och vi böra även förlåta kyrkan, som ju själv predikar mycken förlåtelse i sitt evangelium.</w:t>
        <w:br/>
        <w:br/>
        <w:t xml:space="preserve">Vi böra betänka, att det har skett en stor förskjutning i vårt folk på sista tiden. Författningarna ha ändrats till den grad, att folket mer än förut har inflytande på alla områden, ej minst kyrkans. Här äro ju även förslag uppe att förändra kyrkomötet så, att det skulle få en helt annan sammansättning än det hittills haft. Lekmän, svenska folket i dess helhet skall få större inflytande 1 kyrkan än som någonsin varit fallet förut. Men samtidigt, som man arbetar för dessa förslag att demokratisera kyrkan och göra </w:t>
      </w:r>
      <w:r>
        <w:rPr>
          <w:b/>
        </w:rPr>
        <w:t>henne²</w:t>
      </w:r>
      <w:r>
        <w:rPr>
          <w:b w:val="0"/>
        </w:rPr>
        <w:t xml:space="preserve"> till en verklig folkkyrka, vill man avskaffa </w:t>
      </w:r>
      <w:r>
        <w:rPr>
          <w:b/>
        </w:rPr>
        <w:t>hennes²</w:t>
      </w:r>
      <w:r>
        <w:rPr>
          <w:b w:val="0"/>
        </w:rPr>
        <w:t xml:space="preserve"> vetorätt. Kan man då icke vänta med det litet? Vi hava i denna kammare tvenne socialistiska kyrkoherdar, och vi hava en annan socialistisk prästman som representant för svenska kyrkan i andra kammaren. Vi se sålunda, att det lJemokratiska partiet, som närmast tyckes ha givit upphov till denna debatt och detta förslag, representeras även i riksdagen på ett sådant sätt, att själva statskyrkan som sådan icke representeras lika kraftigt, även om </w:t>
      </w:r>
      <w:r>
        <w:rPr>
          <w:b/>
        </w:rPr>
        <w:t>hon²</w:t>
      </w:r>
      <w:r>
        <w:rPr>
          <w:b w:val="0"/>
        </w:rPr>
        <w:t xml:space="preserve"> för närvarande har en biskop som sin representant i denna kammare. Icke är det väl någon fara för, att kyrkan efter detta skall utöva något förtryck eller missbruka sin ställning här i landet?</w:t>
        <w:br/>
        <w:br/>
        <w:t xml:space="preserve">Så länge kyrkan finnes som ett kristligt samfund — även om </w:t>
      </w:r>
      <w:r>
        <w:rPr>
          <w:b/>
        </w:rPr>
        <w:t>hon²</w:t>
      </w:r>
      <w:r>
        <w:rPr>
          <w:b w:val="0"/>
        </w:rPr>
        <w:t xml:space="preserve"> har sina stora brister — anser jag, att </w:t>
      </w:r>
      <w:r>
        <w:rPr>
          <w:b/>
        </w:rPr>
        <w:t>hon²</w:t>
      </w:r>
      <w:r>
        <w:rPr>
          <w:b w:val="0"/>
        </w:rPr>
        <w:t xml:space="preserve"> själv bör få bestämma sina inre angelägenheter, sin tro, sin verksamhet och formen för sitt liv, och att icke staten bör lägga sig i den saken alltför mycket. Vi må väl erkänna, att den samling representanter, varav riksdagen består, icke precis i allo är lämplig att diskutera</w:t>
        <w:br/>
        <w:br/>
        <w:t>kyrkliga frågor eller sysselsätta sig med andliga ting; vi äro ju därför icke heller valda. SL</w:t>
        <w:br/>
        <w:br/>
        <w:t>Nu tror jag, att om denna fråga gick ut till folket i val, och folket fick klart för sig, vad det gällde, är Jet icke alldeles säkert, att folket kommer att välja på den sida, som motionären och utskottets majoritet ställt sig. När det gäller en så viktig fråga som denna, vilken enligt min tanke utgör första steget i syfte att avskaffa själva kyrkan, så borde vi icke tillåta oss att genom ett bifall till utskottets hemställan gå folket i förväg. Här är ju fråga om att upprätta ett referenduminstitut, dit frågor skola hänvisas, som anses vara av större betydelse för svenska folket. Låt oss vänta med denna fråga, tills detta institut kommer till stånd och hänvisa frågan dit.</w:t>
        <w:br/>
        <w:br/>
        <w:t xml:space="preserve">Låt mig taga ett exempel! Om det nu hade gällt missionärer, som skickats ut till något hednaland, och om deras mission gått framåt så långt därute, att regeringen i landet och de mera inflytelserika gått över på missionens sida och bestämt sig för att införa den kristna läran som statsreligion — vi tänka till exempel på Kina, Japan eller något annat land — då skulle det jublas däröver i alla Sveriges missionstidningar, och allt Sveriges missiomsfolk skulle glädja sig över den framgång, som missionen haft därute. Så gladde sig missionsvännerna också, när i Sverige missionen gjorde en sådan vinning och framgång. Men nu, sedan man haft denna kyrka i så många hundra år, under vilken </w:t>
      </w:r>
      <w:r>
        <w:rPr>
          <w:b/>
        </w:rPr>
        <w:t>hon²</w:t>
      </w:r>
      <w:r>
        <w:rPr>
          <w:b w:val="0"/>
        </w:rPr>
        <w:t xml:space="preserve"> varit till mycken välsignelse för folket, stå vi färliga att bryta ned sten för sten i denna byggnad och sålunda göra våra fäders verk om intet.</w:t>
        <w:br/>
        <w:br/>
        <w:t>Då jag anser detta skadligt och icke kan vara med därom, ber jag att få yrka bifall till den av herr Clason m. fl. avgivna reservationen.</w:t>
      </w:r>
    </w:p>
    <w:p>
      <w:pPr>
        <w:pStyle w:val="Heading2"/>
      </w:pPr>
      <w:r>
        <w:t>2. Samuel Clason (Första kammarens nationella parti, man)</w:t>
      </w:r>
    </w:p>
    <w:p>
      <w:r>
        <w:rPr>
          <w:b w:val="0"/>
        </w:rPr>
        <w:t>Endast en mycket kort replik till herr Oscar Olsson! Han ville göra gällande, att jag hade försagt mig, då jag talade om medbestämmanderätt för statskyrkan, under det Jag vid andra tillfällen talat om uteslutande bestämmanderätt för andra kyrkosam fund.</w:t>
        <w:br/>
        <w:br/>
        <w:t xml:space="preserve">Nej, skillnaden var alldeles avsiktlig. Jag har talat om, att i andra kyrkosamfund man på grund av deras ställning, har fullständig beslutanderätt i inre angelägenheter, och jag har frågat, om man skall ställa statskyrkan i en så mycket sämre ställning än dessa, att man icke unnar </w:t>
      </w:r>
      <w:r>
        <w:rPr>
          <w:b/>
        </w:rPr>
        <w:t>henne²</w:t>
      </w:r>
      <w:r>
        <w:rPr>
          <w:b w:val="0"/>
        </w:rPr>
        <w:t xml:space="preserve"> ens medbestämmanderätt. Detta därför att jag erkänner, att </w:t>
      </w:r>
      <w:r>
        <w:rPr>
          <w:b/>
        </w:rPr>
        <w:t>hennes²</w:t>
      </w:r>
      <w:r>
        <w:rPr>
          <w:b w:val="0"/>
        </w:rPr>
        <w:t xml:space="preserve"> ställning i viss mån är annorlunda på grund av det stöd, </w:t>
      </w:r>
      <w:r>
        <w:rPr>
          <w:b/>
        </w:rPr>
        <w:t>hon²</w:t>
      </w:r>
      <w:r>
        <w:rPr>
          <w:b w:val="0"/>
        </w:rPr>
        <w:t xml:space="preserve"> erhåller från staten. Men Jag vill tillika betona, att jag anser för min del statens förhållande till kyrkan icke eller i varje fall icke så mycket betingat av kyrkans som just av statens intressen därför, att staten genom kyrkan skall kunna</w:t>
        <w:br/>
        <w:br/>
        <w:t xml:space="preserve">utöva det kulturella inflytande till moralens höjande, som den faktiskt på detta område kan. Därför menar jag, att staten bör stödja kyrkan. Men om staten vill hava ett stöd, skall den icke vidtaga sådana åtgärder, att den berövar kyrkan dess möjlighet att giva denne stödjande kraft och berövar </w:t>
      </w:r>
      <w:r>
        <w:rPr>
          <w:b/>
        </w:rPr>
        <w:t>henne²</w:t>
      </w:r>
      <w:r>
        <w:rPr>
          <w:b w:val="0"/>
        </w:rPr>
        <w:t xml:space="preserve"> till och med medbestämmandegätt.</w:t>
      </w:r>
    </w:p>
    <w:p>
      <w:pPr>
        <w:pStyle w:val="Heading2"/>
      </w:pPr>
      <w:r>
        <w:t>3. Mauritz Hellberg (Liberala riksdagspartiet, man)</w:t>
      </w:r>
    </w:p>
    <w:p>
      <w:r>
        <w:rPr>
          <w:b w:val="0"/>
        </w:rPr>
        <w:t>Jag har inte tidigare deltagit i denna debatt, då jag inte kunnat uppdriva något synnerligt intresse för den föreliggande frågan. Men jag föranleddes att begära ordet av de upprepade jämförelserna som gjorts mellan statskyrkan och de andra religionssamfunden.</w:t>
        <w:br/>
        <w:br/>
        <w:t>Det bör väl ändå vara uppenbart, att jämförelser som gå ut på att likställa dessa äro fullständigt missvisande. De andra samfunden bestå av medlemmar, som genom fritt val inträda i dem. Till medlemskap i svenska statskyrkan födes man. De allra flesta, som äro medlemmar i den, ha absolut inte själva bestämt någonting i den vägen.</w:t>
        <w:br/>
        <w:br/>
        <w:t xml:space="preserve">Med en viss — vad skall jag säga? — undran hörde jag den förste ärade talaren beteckna som så eftersträvansvärd den reformen, att man skulle fritt få utträda ur statskyrkan utan att uppge annat samfund. Denna reform har, som vi allesammans veta, många gånger framförts, och när den första gången påyrkades för trettio å fyrtio år sedan, möttes den med en allmän indignation ifrån alla statskyrkligt sinnade kretsar. Även om denna reform skulle bliva genomförd, förstår var och en, att det blir rena undantagsfall, då någon anmäler sig till utträde ur statskyrkan. De allra flesta komma att fortfarande som hittills inregistreras i denna kyrka, som är en tvångsinrättning, genom en hel del gamla bestämmelser förbunden med staten — det är nog att erinra, att det för vissa statsbefattningar fordras att bekänna den rena evangeliska läran. Men därför att </w:t>
      </w:r>
      <w:r>
        <w:rPr>
          <w:b/>
        </w:rPr>
        <w:t>hon²</w:t>
      </w:r>
      <w:r>
        <w:rPr>
          <w:b w:val="0"/>
        </w:rPr>
        <w:t xml:space="preserve"> är en tvångsinrättning, är det också givet, att alla krav, som ställas på </w:t>
      </w:r>
      <w:r>
        <w:rPr>
          <w:b/>
        </w:rPr>
        <w:t>hennes²</w:t>
      </w:r>
      <w:r>
        <w:rPr>
          <w:b w:val="0"/>
        </w:rPr>
        <w:t xml:space="preserve"> frihet och bestämmanderätt efter måttet av de fria religionssamfundens, äro fullkomligt förfelade och omöjliga att genomföra. Frågan blir endast, huru man skall reglera förhållandet mellan stat och kyrka, och vilken grad av frihet och bestämmanderätt som bör medges kyrkan. Där kunna meningarna dela sig, det förstår jag mycket väl. Men det synes mig att, när kyrkan intar en sådan ställning, som </w:t>
      </w:r>
      <w:r>
        <w:rPr>
          <w:b/>
        </w:rPr>
        <w:t>hon²</w:t>
      </w:r>
      <w:r>
        <w:rPr>
          <w:b w:val="0"/>
        </w:rPr>
        <w:t xml:space="preserve"> faktiskt gör, borde det riktigaste vara att </w:t>
      </w:r>
      <w:r>
        <w:rPr>
          <w:b/>
        </w:rPr>
        <w:t>hennes²</w:t>
      </w:r>
      <w:r>
        <w:rPr>
          <w:b w:val="0"/>
        </w:rPr>
        <w:t xml:space="preserve"> speciella organ, kyrkomötet, avger utlåtande i de frågor, som röra </w:t>
      </w:r>
      <w:r>
        <w:rPr>
          <w:b/>
        </w:rPr>
        <w:t>henne²</w:t>
      </w:r>
      <w:r>
        <w:rPr>
          <w:b w:val="0"/>
        </w:rPr>
        <w:t>, och att själva beslutanderätten ligger hos statsmakterna. När förhållandet är sådant, att det övervägande flertalet av Sveriges folk tillhör statskyrkan — ett förhållande, som också markeras av det populära uttrycket folkkyrka — begriper jag inte rädslan för att låta riksdagen, som till åtminstone nittio procent består av medlemmar av denna kyrka, bestämma i kyrkliga frågor — så vitt man nämligen vill anse, att kyrkan skall vara en folkkyrka, där folket har att bestämma, och inte en prästkyrka. Jag kan således icke förstå farhågorna för konsekvenserna av vetorättens utbyte mot rätten att avge utlåtande. |</w:t>
        <w:br/>
        <w:br/>
        <w:t>Min värderade gamle motståndare på Stockholmsbänken utmålade hur konsekvensen härav skulle kunna bli, att stora skaror av kyrkans medlemmar, som äro varmt religiöst intresserade, funne sig nödsakade att utträda. Det tror jag är en spökmålning, helst som man från kyrkans anhängare framhållit, att det är i ett försvinnande fåtal fall, som kyrkan gjort bruk av sin vetorätt. Det fins helt visst ingen anledning att förespå sådana konsekvenser av vetorättens</w:t>
        <w:br/>
        <w:br/>
        <w:t>avskaffande. Jag anhåller att få yrka bifall till utskottets hemställan.</w:t>
        <w:br/>
        <w:br/>
        <w:t xml:space="preserve">Till borgmästaretjänst i stad äge där bosatta och i stadens allmänna angelägenheter röstberättigade män och </w:t>
      </w:r>
      <w:r>
        <w:rPr>
          <w:b/>
        </w:rPr>
        <w:t>kvinnor¹</w:t>
      </w:r>
      <w:r>
        <w:rPr>
          <w:b w:val="0"/>
        </w:rPr>
        <w:t xml:space="preserve"> att med för en var röstande lika röst föreslå tre behörige personer, då Konungen en av dem utnämne. På samma sätt förhålles med rådmansoch magistratssekreteraresysslorna i Stockholm.</w:t>
        <w:br/>
        <w:br/>
        <w:t>Till borgmästaretjänst i stad äge där bosatta och i stadens allmänna angelägenheter röstberättigade män att föreslå tre behörige personer, då Konungen en av dem utnämne. På lika sätt förhålles med rådmansoch magistratssekreteraresysslorna i Stockholm.</w:t>
        <w:br/>
        <w:br/>
        <w:t xml:space="preserve">Till borgmästaretjänst i stad äge där bosatta och i stadens allmänna angelägenheter röstberättigade män och </w:t>
      </w:r>
      <w:r>
        <w:rPr>
          <w:b/>
        </w:rPr>
        <w:t>kvinnor¹</w:t>
      </w:r>
      <w:r>
        <w:rPr>
          <w:b w:val="0"/>
        </w:rPr>
        <w:t xml:space="preserve"> att med för en var röstande lika röst föreslå tre behörige personer, då Konungen en av dem utnämne. På samma sätt förhålles med rådmansoch magistratssekreteraresysslorna i Stockholm.</w:t>
        <w:br/>
        <w:br/>
        <w:t xml:space="preserve">Till borgmästaretjänst i stad äge där bosatta och i stadens allmänna angelägenheter röstberättigade män och </w:t>
      </w:r>
      <w:r>
        <w:rPr>
          <w:b/>
        </w:rPr>
        <w:t>kvinnor¹</w:t>
      </w:r>
      <w:r>
        <w:rPr>
          <w:b w:val="0"/>
        </w:rPr>
        <w:t xml:space="preserve"> föreslå tre behörige personer. Varje röstberättigad äger en röst. Bland de föreslagne utnämner Konungen en till borgmästare.</w:t>
        <w:br/>
        <w:br/>
        <w:t>borgmästaretjänst meddelas genom särskild, av Konungen och riksdagen sanifällt stiftad lag.</w:t>
        <w:br/>
        <w:br/>
        <w:t>täcktes Kungl. Maj:t låta utarbeta och för riksdagen framlägga förslag till sådana bestämmelser, att val för upprättandet av förslag till besättande av rådmansoch magistratssekreteraresysslorna i Stockholm komme att förrättas av stadsfullmäktige.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