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1483</w:t>
      </w:r>
    </w:p>
    <w:p>
      <w:r>
        <w:rPr>
          <w:b/>
        </w:rPr>
        <w:t xml:space="preserve">Datum: </w:t>
      </w:r>
      <w:r>
        <w:t>1920-06-17</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Hjalmar Branting (Socialdemokraterna, man)</w:t>
      </w:r>
    </w:p>
    <w:p>
      <w:r>
        <w:rPr>
          <w:b w:val="0"/>
        </w:rPr>
        <w:t>Herr talman, mina herrar! Medlemmen av denna kammare, herr O. W. Löwgren, har med kammarens tillstånd till mig riktat följande frågor:</w:t>
        <w:br/>
        <w:br/>
        <w:t>1) Har hans exellens herr statsministern sig bekant det sakernas tillstånd, som råder i Ungern, och, i så fall,</w:t>
        <w:br/>
        <w:br/>
        <w:t>2) är den svenska regeringen villig att ensam eller i förening med andra stater hos den ungerska regeringen begära tillträde för en parlamentarisk undersökningskommission, eller</w:t>
        <w:br/>
        <w:br/>
        <w:t>3) är den svenska regeringen villig att på annat sätt medverka till, att en mänskligare tingens ordning införes i Ungern?</w:t>
        <w:br/>
        <w:br/>
        <w:t>Å dessa interpellantens frågor ber jag få angiva följande svar:</w:t>
        <w:br/>
        <w:br/>
        <w:t>Det fruktansvärda sakernas tillstånd, som en tid varit rådande i Ungern, sedan Bela Kuns röda terror avlösts av vit terror, har självfallet icke kunnat undgå min uppmärksamhet. Hela världspressen har därom innehållit uppgifter, vilka bekräfta i stor utsträckning, vad från arbetarpressen framhållits av fakta om inspärrande i många tusental i fångläger, om avrättningar, mord och andra illdåd, vilka förövats utan att medföra straff och i vissa fall icke ens efterspanande av illgärningsmiännen.</w:t>
        <w:br/>
        <w:br/>
        <w:t>En kommitté för de socialdemokratiska ungerska emigranterna i Wien sände mig i februari en skrivelse, vari man fäste uppmärksamheten på förestående massprocesser emot bl. a. alla medlemmar av den tidigare revolutionära regeringen. I denna hade i ett visst skede i modererande syfte ingått representanter för det ungerska socialdemokratiska partiet, vilka vid Bela Kuns fall på hemställan av representanter för ententen stannat kvar. för att söka åstadkomma en utjämning.</w:t>
        <w:br/>
        <w:br/>
        <w:t>Samma kommitté har även vänt sig till den internationella socialistiska byrån i Bryssel för att genom dess förmedling få framförd en vädjan till alla länders arbetare om understöd åt de ungerska kamraterna i deras förtvivlade belägenhet. Det väsentliga av dessa aktstycken har på sin tid publicerats i Socialdemokraten. Vidare erhöll jag i februari ett brev från en av den ungerska arbetarrörelsens främste ledare, Ernst Garami, som jag personligen väl känner sedan Stockholms-konferensen 1917, i samma syftning och med en kort sammanfattning av, hur den vita terrorn farit fram och alltjämt for fram i Ungern.</w:t>
        <w:br/>
        <w:br/>
        <w:t>Med anledning av alla dessa upplysningar, och då av dem syntes framgå, att ententens representanter i Budapest vid olika tillfällen iklätt sig viss förpliktelse att söka åstadkomma inställande av fortsatta politiska förföljelser mot den ungerska arbetarrörelsen, ansåg jag mig böra begagna personliga förbindelser till några härvarande representanter för dessa stater till att fästa deras uppmärksamhet på, vad som försiggick i Ungern, och på det ansvar härför, som man inom den internationella arbetarvärlden ville tillskriva deras länders representanter i Ungern, då de icke med tillräcklig kraft förhindrade fortsättandet av en vit terrors excesser. Man lovade benäget att framföra mina meddelanden hem, och den 17 april fick jag från en av dem, till vilka jag vänt mig, mottaga en skrivelse, vari han redogjorde för de åtgärder, han vänligen vidtagit för att införskaffa närmare upplysningar för hans lands vidkommande.</w:t>
        <w:br/>
        <w:br/>
        <w:t>Dessa upplysningar gingo emellertid i den riktning, att vederbörande lands representanter i Budapest uppgivit, att han och hans kolleger följde pågående processer med intresse, men icke funnit anledning att göra några framställningar, enär avrättningar endast skedde för grova brott och några utslag av uppenbar orätt icke kommit till hans kännedom. Men om något särskilt fall bleve mig bekant, vore han tacksam för närmare uppgifter. I avvaktan härpå ville han varna för överdrivna tidningsmeddelanden. Så hade uppgivits, att Andor LTatzko avrättats, då han i verkligheten icke ens var häktad, och för professor Agoston, f. d. medlem av den kommunistiska regeringen, skulle vissa namngivna medlemmar av entente-kommissionen uppträda som vittnen. För övrigt framhölls, att ungrarna, till stor del på grund av entente-representanternas inflytande, »börja inse, att judarna icke kunna utrotas, att de äro nödvändiga för landets ekonomiska liv, och att ungrarna alltså måste lära sig att leva i fred samman med dem».</w:t>
        <w:br/>
        <w:br/>
        <w:t>Denna skrivelses innehåll meddelades av mig omedelbart till det österrikiska socialdemokratiska partiets sekreterare i Wien, Skaret, för vidare befordran till de ungerska partivännerna därstädes. Något svar härpå eller vidare direkta uppgifter har jag sedan icke mottagit förrän helt nyss ett brev från advokaten dr Natan Koskes i Wien, som hänvisar till en bilagd artikel ur tidningen »Abend». TI denna riktar dr Koske ett öppet brev till ungerska ministerpresidenten, doktor Simonyi-Semadan, vari han gent emot en uppgift av dennes föregångare Huszår om att vidtagna efterforskningar om en »försvunnen pelsk medborgare, Baruch Reich, icke skulle ha lett till något resultat,</w:t>
        <w:br/>
        <w:br/>
        <w:t>vidhaller, att denne blivit offer för ett ranmord, beganget av tva namungivna ungerska officerare och tva likaledes namngivna underofficerare. Han spörjer nu, vad som skull ske med dessa fyra, som han offentligen anklagar för rånmord; för kulturvärlden är ett mord, som en ministerpresident söker skyla över, något oerhört; Henderson och Asquith i London, Anatole France och Longuct i Paris samt doktor Diamant, ledande socialdemokrat i riksdagen i Warschau, ha underrättats om alla detaljer i denna mordatfär, slutar han.</w:t>
        <w:br/>
        <w:br/>
        <w:t>Under tiden har som bekant en delegation från engelska Labour Party besökt Ungern för att söka vinna närmare upplysning om förhållandena där. Dennas kommissionsrapport gör gällande, att en rad av grova förbrytelser begåtts av ungerska officerare, utan att regeringen ingripit för att straffa de skyldiga. Dess slutsats är, att det i Ungern existerar vit terror, mot vilken regeringen synes sakna förmåga eller vilja att ingripa, samt att många av regeringens egna handlingar gå i samma terroristiska riktning. Jag känner icke, huruvida denna rapport ännu hunnit framföras 1 engelska parlamentet. Mot tidigare vädjanden att stävja våldsregementet i Ungern har engelska regeringen, stödjande sig på uttalanden från sina representanter av samma art, som det ovan anförda, hittills förhållit sig avböjande.</w:t>
        <w:br/>
        <w:br/>
        <w:t xml:space="preserve">Det bör tilläggas, att även en svensk representant för strävandena att bringa genom »Rädda Barnen» hjälp i det ohyggliga nödläge, vari Budapests hungrande barn befinna sig, </w:t>
      </w:r>
      <w:r>
        <w:rPr>
          <w:b/>
        </w:rPr>
        <w:t>fru²</w:t>
      </w:r>
      <w:r>
        <w:rPr>
          <w:b w:val="0"/>
        </w:rPr>
        <w:t xml:space="preserve"> Elin Wägner, 1 artiklar i svenska tidningar fäst uppmärksamheten på, vilka upprörande ting, som passera under den nuvarande regimen i Ungern. TI ett svar till ett försök att framställa </w:t>
      </w:r>
      <w:r>
        <w:rPr>
          <w:b/>
        </w:rPr>
        <w:t>hennes²</w:t>
      </w:r>
      <w:r>
        <w:rPr>
          <w:b w:val="0"/>
        </w:rPr>
        <w:t xml:space="preserve"> iakttagelser som ovederhäftiga har </w:t>
      </w:r>
      <w:r>
        <w:rPr>
          <w:b/>
        </w:rPr>
        <w:t>hon²</w:t>
      </w:r>
      <w:r>
        <w:rPr>
          <w:b w:val="0"/>
        </w:rPr>
        <w:t xml:space="preserve"> — i Svenska Dagbladet för 16 juni — energiskt vidhållit både sina tidigare uppgifter och hela den syn på läget, </w:t>
      </w:r>
      <w:r>
        <w:rPr>
          <w:b/>
        </w:rPr>
        <w:t>hon²</w:t>
      </w:r>
      <w:r>
        <w:rPr>
          <w:b w:val="0"/>
        </w:rPr>
        <w:t xml:space="preserve"> redan förut framfört. Det uppseendeväckande beslut, som nyss fattats av centralorganisationen för den fackliga internationalen, att söka få till stånd en internationell bojkott av Ungern från den 20 juni, motiveras likaledes med en rad uppgifter om alltjämt forsatt vit terror.</w:t>
        <w:br/>
        <w:br/>
        <w:t>Enligt mig i dag tillhandakomna meddelanden från härvarande ungerska s. k. informationsbyrå synas emellertid protesterna mot våldsdåden vara i stigande inom Ungern självt. I parlamentet har den 8 juni bl. a. förre ministerpresidenten Huszår med skärpa betonat, att urdning och rättsäkerhet måste återställas; hela nationen kräver handling, som gör det omöjligt för äventyrare och personer, som utnämna sig själva till räddare, att omstörta författningens rättsgrundvalar. Och krigsministern har sett sig föranlåten att den 9 juni utfärda ett cirkulär mot de ansvarslösa elementen. mest i arméns uniform, som sätta allmän säkerhet och enskild egendom i fara, samt uppmanar att ställa dessa elementer under åtal.</w:t>
        <w:br/>
        <w:br/>
        <w:t>Av denna redogörelse torde interpellanten finna, att jag icke blott fått på olika sätt kännedom om, att anklagelserna för vit terror i Ungern grunda sig på ett rikt material, utan att jag även sökt i all stillhet använda föreliggande möjligheter att skaffa autentiska uppgifter om vad, som där passerar, i syfte att kunna något bidraga till en internationell påtryckning mot den vita terrorn. Om de utvägar,</w:t>
        <w:br/>
        <w:br/>
        <w:t>som härvid kunna erbjuda sig, kan jag emellertid icke nu uttala mig närmare.</w:t>
        <w:br/>
        <w:br/>
        <w:t>Interpellanten ifrågasätter en parlamentarisk undersökningskommission. Det är möjligt, att denna tanke kan upptagas t. ex. vid den internationella konferensen i Genéve i sommar av delegerade från de socialdemokratiska riksdagsgrupperna i ett antal europeiska parlamenter. Skulle något stöd från regeringars sida befinnas önskvärt för en sådan kommissions opartiskt lagda undersökningsarbete, är det självklart, att den nuvarande svenska regeringen gärna och villigt skall lämna sin medverkan härtill, liksom att den överhuvud hyser uppriktigt intresse för interpellantens syfte, att en mänsklig tingens ordning må råda i Ungern.</w:t>
      </w:r>
    </w:p>
    <w:p>
      <w:pPr>
        <w:pStyle w:val="Heading2"/>
      </w:pPr>
      <w:r>
        <w:t>2. Oscar Lövgren (Socialdemokratiska vänstergruppen, man)</w:t>
      </w:r>
    </w:p>
    <w:p>
      <w:r>
        <w:rPr>
          <w:b w:val="0"/>
        </w:rPr>
        <w:t>Herr talman! Jag ber att till hans excellens herr statsministern få framföra mitt tack för det erhållna svaret. Sedan vill jag tillägga, att det var ganska värdefullt att från ett så auktoritativt håll få konstaterat, att en vit terror härskar. Man har så ofta framhållit i den borgerliga pressen de excesser, som följa med revolutionära rörelser, utgångna ur arbetarnas led. Nu ha vi kunnat konstatera, huru rätt vi hade, när vi från vårt håll framställde saken på det sättet, som den verkligen låg i vårt östra grannland för ett par år sedan, när man i den borgerliga pressen omhuldade den segrande borgerliga regimen och gjorde den till den västerländska kulturens speciella skötebarn. Nu gäller det ett annat land, som visserligen ligger längre bort, som är svårare för vårt land att öva påtryckning på. Men jag tror likväl, att det är möjligt, om från en sådan internationell personlighets sida, som herr Branting är, det tages initiativ till en påtryckning genom stater och arbetarepartier 1 det syfte, som jag angav i motiveringen till min interpellation.</w:t>
        <w:br/>
        <w:br/>
        <w:t>Jag har här i dag genom en ungersk socialist fått ett exemplar av en ungersk tidning. Däri finnes först en uppgift om fyra oerhört stympade lik, som man hittat i Donau, vidare om 13 stycken som häktats. Det finnes också en hel sida om domar, avkunnade på en dag i Budapest, på sammanlagt 134 år. Man synes i Budapest avkunna domar på årslånga fängelsestraff ungefär på samma sätt, som våra domstolar avdöma fylleriförseelser.</w:t>
        <w:br/>
        <w:br/>
        <w:t xml:space="preserve">Det har vidare genom </w:t>
      </w:r>
      <w:r>
        <w:rPr>
          <w:b/>
        </w:rPr>
        <w:t>fru²</w:t>
      </w:r>
      <w:r>
        <w:rPr>
          <w:b w:val="0"/>
        </w:rPr>
        <w:t xml:space="preserve"> Elin Wägner och från den internationella byrån i Amsterdam understrukits och bekräftats, att det är en vit terror, som härskar där, och jag anser därför det vara för ett sådant gammalt kulturland som Sverige icke bara en plikt utan en skyldighet att göra vad som göras kan för att öva påtryckning för att få ändring 1 detta sakernas läge. Jag tror, att om man gör allt vad man kan göra, skall det resultera uti att man tar sitt förnuft till fånga inom det land. det här gäller, och jag tror då, att i framtiden skola vi räkna den handlingen såsom den icke minsta, som vi gjort från vårt lands sida i en verklig mänsklighets och civilisations tjänst.</w:t>
      </w:r>
    </w:p>
    <w:p>
      <w:pPr>
        <w:pStyle w:val="Heading2"/>
      </w:pPr>
      <w:r>
        <w:t>3. Per Albin Hansson (Socialdemokraterna, man)</w:t>
      </w:r>
    </w:p>
    <w:p>
      <w:r>
        <w:rPr>
          <w:b w:val="0"/>
        </w:rPr>
        <w:t>Herr talman, mina herrar! Sedan första kammaren bifallit detta sammanjämkningsförslag, är det uppenbart, att andra kammaren, för att ett beslut över huvud skall komma till stånd, också måste biträda detsamma. Jag har icke heller några särskilda erinringar att göra mot sammanjämkningen. Den lider som alla kompromisser av svagheter. Och en av de bestämmelser däri, som jag anser, att andra kammaren för sin del har den största anledningen till missnöje med, ar hestämmelsen om att man för de värnpliktsgrupper, som tjänstgöra under vintern, skall bibehålla den av försvarsrevisionen föreslagna extra tiden av trettio dagar.</w:t>
        <w:br/>
        <w:br/>
        <w:t>Om man skulle se på sammanjämkningen såsom gällande enbart 1920 års klass, skulle jag anse mig nödgad förklara, att den med hänsyn till hela ställningen i riksdagen icke vore en fullt riktig sammanjämkning, utan att första kammarens ståndpunkt fått allt för mycket till sin fördel.</w:t>
        <w:br/>
        <w:br/>
        <w:t>Emellertid har ju sammanjämkningen omfattat icke endast 1920 3rs klass utan även 1919 års, beträffande vilka ursprungligen de män, som dikterade första kammarens ståndpunkt, icke ville vara med om någon ytterligare minskning av övningstiden för de värnpliktigas huvudmassa. Nu har man i stället i sammanjämkningsförslaget biträtt Kungl. Maj:ts förslag om att man skall för 1919 års klass vid infanteriet, trängen och intendenturtrupperna tillämpa den tjänstgöringstid, som blir bestämd för 1920 års klass. Därigenom kompenseras, om man vill räkna fullt matematiskt, den orättmätiga ökning, som skett genom tillägget vid vintertjänstgöringen för 1920 års klass. Jag tror sålunda, att man kan säga, att om man betraktar båda klasserna gemensamt, är sammanjämkningen genomförd, kanske rätt oavsiktligt men dock faktiskt, nästan fullkomligt matematiskt så, att båda ståndpunkterna få släppa lika mycket.</w:t>
        <w:br/>
        <w:br/>
        <w:t>Det finnes emellertid en punkt i sammanjämkningsförslaget, som jag finner särskilt beklaglig och som närmast föranlett mig att begära ordet. Vid behandlingen av Kungl. Maj:ts tidigare proposition rörande övningstiden för specialvapnen vid de värnpliktiga av 1919 års klass, framhölls i den Kungl. propositionen och även av mig i kammaren, att man hoppades kunna bereda dessa värnpliktiga utöver den avkortning på 55 dagar, som skedde i första tjänstgöringen, en ytterligare minskning genom borttagande av en repetitionsövning. Även om så hade skett, skulle Jlessa värnpliktiga ha erhållit en minskning i sin utbillningstid, väsentligt mindre än den minskning, som kommer värnpliktiga vid specialvapnen av</w:t>
        <w:br/>
        <w:br/>
        <w:t>senare årsklasser till del, och väsentligt mindre än den minskning, som kommit övriga värnpliktiga av 1919 års klass till del. Det har för mig därför varit synnerligen angeläget att söka genomföra den minskning, som skulle uppstå genom dessa värnpliktigas befrielse från en repetitionsövning. Nu har emellertid utskottet icke velat förorla Kungl. Maj:ts förslag i denna punkt utan endast föreslagit, att repetitionsövningarna skola för vissa vapenslag minskas med 7 dagar, för andra med 5 dagar.</w:t>
        <w:br/>
        <w:br/>
        <w:t>Åt saken är nu ingenting att göra. Jag har emellertid icke velat underlåta att vid detta tillfälle livligt beklaga, att det visat sig, att ställningen i riksdagen slutligen blev den, att man icke har kunnat lämna dessa värnpliktiga vil specialvapnen av 1919 års klass en förkortning i övningstiden, som står i rimlig proportion till den övriga värnpliktiga lämnade avkortningen.</w:t>
      </w:r>
    </w:p>
    <w:p>
      <w:pPr>
        <w:pStyle w:val="Heading2"/>
      </w:pPr>
      <w:r>
        <w:t>4. Felix Hamrin (Folkpartiet, man)</w:t>
      </w:r>
    </w:p>
    <w:p>
      <w:r>
        <w:rPr>
          <w:b w:val="0"/>
        </w:rPr>
        <w:t>Herr talman! De båda ärenden, som förekomma här på föredragningslistan, bevillningsutskottets betänkanden nr 45 och 46, stå såsom herrarna behagade finna, i oupplösligt samband med varandra, och man har i första kammaren på föredragningslistan först upptagit 'bevillningsutskottets betänkande nr 46 och därefter samma utskotts betänkande nr 45. Jag tillåter mig,</w:t>
        <w:br/>
        <w:br/>
        <w:t>herr talman. att vördsamt anhålla att få vid behandlingen av be- Ang. viss be-</w:t>
        <w:br/>
        <w:br/>
        <w:t>tänkandet nr 45 även yttra mig om betänkandet nr 46, enär et avslaugsyrkande beträffande utskottets betänkande nr 45 ju innebär. att man måste anvisa andra vägar och medel för att fylla den lucka, som uppstår, därest riksdagen skulle besluta att avslå utskottets hemställan i betänkandet nr 45.</w:t>
        <w:br/>
        <w:br/>
        <w:t>Det är ju så, som kammaren torde finna av betänkandet nr 45. att bevillningsutskottet däri hemställer, att bland inkomsterna å 1920 års tilläggsstat måtte uppföras omsättningsskatt och utskänkningsskatt å spritdrycker, bevillning. med kronor 20,000,000. Detta är en fråga. som särskilt under loppet av förra året var föremål för mycket stor uppmärksamhet, och det var ju såsom framgår både av den proposition, som då framlades om spritaccis och av det yttrande, som fälldes i kammaren av departementschefen. med den viss tvekan, som regeringen då framlade sitt krav på uttagande av en särskill spritaccis. När detta ärende sedan behandlades i andra kammaren, höjdes det mycket starka stämmor emot "utskottets förslag och den Kungl. propositionen. Ur dessa anföranden skall jag här endast tillåta mig att citera några ord. Sålunda yttrade en ledamot av bevillningsutskottet, en av mina bänkkamrater. bland annat följande: »En sådan beskattning står uppenbarligen i strid mot den genom 1913 års riksdagsbeslut fastslagna grundsatsen om begränsning av statens ekonomiska beroende av rusdrycksmedlen. Man kan här icke tala om att det är en tillfällig skatt för vissa ändamål. Har man en gång infört spritaccis, kommer den troligen att bli kvar i en eller annan form. Det blir en mycket stor frestelse för regering och riksdag att fortsätta på samma väg, då det gäller att uppgöra måhända ännu mera krävande budgeter, än vi nu hava.» De ord, herr Jonsson i Hökhult då uttalade. ha ju besannats på ett sätt, som varken han eller någon annan då kunde drömma om. Det är fullkomligt riktigt. wal den ärade talaren då anförde, att i'en eller annan form skulle denna spritaccis återkomma, därest riksdagen då fattade ett sådant beslut.</w:t>
        <w:br/>
        <w:br/>
        <w:t>I sitt belömande av vad denne talare så väl som andra då anförde. uttalade herr statsrådet och chefen för finansdepartementet, samme departementschef som nu: »Jag har i propositionen så långt, det varit möjligt, angivit, att det beslut, som riksdagen nu går att fatta, icke på något sätt får vara prejudicerande för statsverkets ståndpunkt till nykterhetslagstiftningen som sådan. Därför är detta en rent tillfällig fråga, framkallal av exceptionella förhållanden, som jag hoppas, att vi. när freden en gång är sluten, icke inom överskådlig tid skola på nytt ställas inför.» Ja, mina herrar, hur har det gått med dessa uttalanden och de bestämt uttalade förhoppningar, som herr statsrådet Thorsson då gjorde sig till målsman för? Jo, vi ha fått ett förslag, det som här ligger på kammarens bord. vilket. som jag strax skall påvisa, är av betydligt mera betänklig art än det, som framlades vid 1919 års riksdag.</w:t>
        <w:br/>
        <w:br/>
        <w:t>Jag skall sluta mina citat från år 1919 med att anföra de rader,</w:t>
        <w:br/>
        <w:br/>
        <w:t>med vilka en lelamot av kammaren, tillhörande det nuvarande regeringspartiet, herr Sävström, avslutade sitt anförande; då han sade: »Jag anser det icke staten värdigt att uttaga en sådan skatt, som här är 1 fråga, och icke heller anser jag det riksdagen värdigt att fatta ett sådant beslut.»</w:t>
        <w:br/>
        <w:br/>
        <w:t>Trots de protester, som då höjdes, och trots de uttalade förhoppningarna om att denna skatt icke ånyo skulle hehöva tagas 1 anspråk, finna vi här framlagt ett förslag om uttagande av en betydlig mängd miljoner för täckande av de behov, som uppstått i statsbudgeten, visserligen på grund av riksdagens fattade beslut och i den bemärkelse, att rikslagen själv skapat utgifterna genom att gå utöver vad Kungl. Maj:t föreslagit, men i varje fall vill man genom försäljning av rusdrycker på detta sätt skapa nya inkomster. Jag ber abt få understryka till en början, vad herr Jonsson i Hökhult förra året anförde då han påpekade, att detta [förslag står i en alldeles uppenbar strid emot det beslut, som riksdagen fattade år 1913. Och var det så förra året, då man för ett tillfälligt behov måste uttaga 20,000,000 kronor, är det ju alldeles uppenbart, att detta är fallet i ännu större utsträckning nu, då vi genom att uttaga en skatt skola täcka det stora hål i budgeten, som Uuppstått framför allt genom att vi beviljat dyrtilsanslag till statsanställda 1 större utsträckning, än Kungl. Maj:t föreslagit. Mina herrar! Dessa dyrtidsanslag och dessa höjda avlöningar kunna naturligtvis under de kommande åren icke tänkas bli reducerade, och vad vi här besluta, måste vi alltså fatta som någonting, som blir ofrånkomligt under de närmaste åren. Det är emot detta brytande av en bestämt fastställd princip, som jag, herr talman, icke kunnat underlåta att på de mest allvarliga sätt reagera.</w:t>
        <w:br/>
        <w:br/>
        <w:t>I en motion, som står i samband med bevillningsutskottets betänkande nr 46 och som blivit avgiven i första kammaren av herr Modig, anvisas också andra vägar för att täcka det behov, som förefinnes 1 statsbudgeten, utan att uttaga medlen på sätt, som föreslås i betänkandet nr 45. Det föreslås nämligen där en förhöjning i skatteprocenten upp till 200 4, och en reservant i utskottet, herr Rosén, har föreslagit, att den skulle höjas till 195 « av det i 19 $ av förordningen om inkomstoch förmögenhetsskatt stadgade grundbeloppet. Där ha motionären och reservanten anvisat det enligt min uppfattning enda sätt, man bör använda, då det gäller att skaffa staten inkomst, då detta är nödvändigt utanför den ordinarie budgeten. Och det sades ju för övrigt ifrån början, när denna förordning om inkomstoch förmögenhetsskatt infördes, att skatteprocenten skulle vara rörlig, så att den kunde höjas och sänkas alltefter behovet.</w:t>
        <w:br/>
        <w:br/>
        <w:t>Nu kan man visserligen påstå, att man kommit så högt redan genom det beräkningssätt, Kungl. Maj:t använt, att man icke vågar gå längre på den direkta beskattningens väg. Emot detta skulle jag</w:t>
        <w:br/>
        <w:br/>
        <w:t>dock vilja framhålla, att spritskatten måste anses komma att drabba</w:t>
        <w:br/>
        <w:br/>
        <w:t>de minsta inkomsttagarna i samhället, de fattigaste, ty så visst som största delen av landets befolkning faller under den grupp, som jag</w:t>
        <w:br/>
        <w:br/>
        <w:t>nu betecknar som små imkomsttagare och de fattiga, så visst komma Ang. viss beockså dessa grupper att få vidkännas de många miljoner, som här villning å tillskola inflyta i form av spritskatt, under det att, om man höjer skatteläggsstaten för procenten på det sätt, reservanten föreslagit, det kommer att 1 största (Forts.) utsträckning drabba de stora inkomsttagarna, de förmögna, de rika | i samhället.</w:t>
        <w:br/>
        <w:br/>
        <w:t xml:space="preserve">Mina herrar, om man går till en undersökning, i vilken mån en förhöjning till 195 « i verkligheten komme att drabba de olika inkomsttagarna, tror jag, att man snart skall komma till det resultat, att denna höjning icke är så stor, att man behöver tillgripa en så osmaklig åtgärd, som här föreslås, i stället för att företaga denna förhöjning. Jag har ju icke haft tillräcklig tid på mig, att göra en dylik undersökning, i synnerhet som jag icke var säker på om detta ärende skulle slutgiltigt behandlas i dag, då det ju endast är bordlagt en gång, men vid ett hastigt överslag befinnes det, för att taga ett par, tre exempel, att en familj, bosatt här i Stockholm och bestående av wan, </w:t>
      </w:r>
      <w:r>
        <w:rPr>
          <w:b/>
        </w:rPr>
        <w:t>hustru²</w:t>
      </w:r>
      <w:r>
        <w:rPr>
          <w:b w:val="0"/>
        </w:rPr>
        <w:t xml:space="preserve"> och fem barn, med 5,000 kronors inkomst, finge en förhöjning i sin direkta beskattning till staten på mellan 5 och 6 kronor. Om jag tar ett annat exempel, ett, som kanske ligger i toppen av de medelmåttiga inkomsterna, en liknande familj med en inkomst på 15,000 kronor, skulle den få en förhöjning på 30—60 kronor, och för att taga ett ytterligare exempel, en person, som har en så rundligt tilltagen årsinkomst som 100,000 kronor, skulle få betala i skatt 1,000—-1,500 kronor utöver vad han enligt Kungl. Maj:ts förslag skulle komma att göra.</w:t>
        <w:br/>
        <w:br/>
        <w:t>Då frågar jag mig, om vi verkligen kommit dithän, om vi kommit till den yttersta randen av möjligheterna för att på den direkta beskattningens väg nå ett önskvärt resultat. Ha vi kommit så långt, att man verkligen icke på den vägen kan taga ut dessa miljoner utan att behöva tillgripa, jag upprepar det, en sådan osmaklig åtgärd som att ytterligare beskatta de fattiga genom att lägga skatt på spritdryckerna? Jag kan icke finna, att så är fallet.</w:t>
        <w:br/>
        <w:br/>
        <w:t>Mot detta resonemang kan man peka på den andra delen i den motion, som jag åberopat och som avgivits av herr Modig och varl han hemställer om en betydlig förhöjning av de avgifter eller den skatt, som utgår på tobaksvaror här i landet genom tobaksmonopolet. Även detta är en indirekt skatt, som drabbar de fattiga, men även om man medger, att tobaksbruket är en vana, som bör och skall motarbetas, kan man dock icke säga, att det i något avseende kan jämställas med spritdrycksanvändning beträffande skadliga följder och sociala vådor. För övrigt skulle jag vilja säga, att denna skatt på tobaksvaror också i stor utsträckning drabbar de förmögna, alldenstund den utgår i förhållande till varans värde och då som bekant de dyra tobaksvarorna användas av de förmögna och dem, som ha stora inkomster.</w:t>
        <w:br/>
        <w:br/>
        <w:t>Det är därför, herr talman, som jag från alla synpunkter sett velat reagera mot det förslag, som här föreligger, till den kraft och verkan det hava kan. Man måste säga, att vi befinna oss på ett sluttande plan, när man slår in på dessa vägar, och man kan vork-</w:t>
        <w:br/>
        <w:br/>
        <w:t>Beträffande det föredragna betänkandet kan jag icke annat än yrka avslag på bevillningsutskottets hemställan, och jag kommer sedan, därest detta yrkande skulle vinna kammarens bifall, att yrka bifall till den av mig omnämnda motionen och reservationen, då jag går att framställa yrkande i anslutning till bevillningsutskottets betänkande nr 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1483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