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1495</w:t>
      </w:r>
    </w:p>
    <w:p>
      <w:r>
        <w:rPr>
          <w:b/>
        </w:rPr>
        <w:t xml:space="preserve">Datum: </w:t>
      </w:r>
      <w:r>
        <w:t>1921-03-01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Walter Kant (Lantmanna- och borgarepartiet inom andrakammaren, man)</w:t>
      </w:r>
    </w:p>
    <w:p>
      <w:r>
        <w:rPr>
          <w:b w:val="0"/>
        </w:rPr>
        <w:t>Ehuru den av mig väckta motionen, som behandlas i det föreliggande utskottsutlåtandet, blivit av första lagutskottet enhälligt avstyrkt, ber jag, herr talman, att ändock få yttra några ord i frågan. |</w:t>
        <w:br/>
        <w:br/>
        <w:t>Utskottet har avstyrkt motionen huvudsakligen av två skäl, det ena, att ifrågavarande lagstiftning tillkommit så sent som år 1917, det andra, att, som det står i betänkandet, »det av motionären framställda spörsmål varit föremål för en ingående prövning» sagda år. .</w:t>
        <w:br/>
        <w:br/>
        <w:t>Det först anförda skälet är allenast formellt. När dylika skäl åberopas, innebär det alltid ett bevis på att man anser sig osäker i själva sakfrågan och vill undgå att inlåta sig på densamma. Jag konstaterar sålunda, att utskottets ståndpunkt i frågan är präglad av brist på vilja att inlåta sig på det rent sakliga.</w:t>
        <w:br/>
        <w:br/>
        <w:t>Det andra skälet för avslag å motionen, nämligen att nu före-</w:t>
        <w:br/>
        <w:br/>
        <w:t>varande spörsmål redan varit föremål för en ingående prövning, är fullständigt oriktigt. Herr Alexandersons av utskottet refererade motion vid 1917 års riksdag, som föranledde de i motionen avsedda ändringarna i det av Kungl. Maj:t framlagda lagförslaget, ingick ju kan man säga som en integrerande del i den år 1917 antagna lagen om adoption. Förevarande motion avser däremot att åstadkomma ändringar i 1917 års lag enligt dess nuvarande lydelse och kan sålunda icke alls avse samma spörsmål som det av herr Alexanderson väckta, i synnerhet som herr Alexanderson icke i sin motion behandlade nägra principiella spörsmål 1 ämnet, utan endast de som direkt berördes av den i hans motion gjorda framställningen. Av herr Alexandersons motion framgår för övrigt. att han endast avsåg att få bort de mest påtagliga olägenheterna i det år 1917 framlagda adoptionslagförslaget. Ett bifall till min motion synes i själva verket vara ett följdriktigt biträdande av den linje, som herr Alexanderson från början inaugurerat gent emot. det ursprungligen föreliggande lagförslaget.</w:t>
        <w:br/>
        <w:br/>
        <w:t xml:space="preserve">Jag kan vidare icke underlåta att bemöta utskottets motivering för avslag av den sista delen av min motion. Utskottet har härvid erinrat därom, att man vid tillkomsten av ifrågavarande lagstiftning ansåg angeläget förebygga, att adoption skulle komma till stånd på grund av beräkningar hos adoptanten att därigenom för egen räkning vinna ekonomisk fördel. Nu förhåller det sig emellertid så, att denna av första lagutskottet som befogad åberopade uppfattning hos 1917 års riksdag otvivelaktigt: torde vila på felaktig grund. Man kan nämligen icke med fog tala om faran för några beräkningar hos adoptanten av ovan angivet slag, eftersom han vid det tillfälle, då barnet omhändertages av honom, över huvud icke vet, om det blir så välartat, att det skall kunna någorlunda väl taga sig fram, och än mindre om det skall komma att efterlämna någon förmögenhet i arv till andra. Det enda fall, då man med hänsyn till nu uttalade beräkningssynpunkt kunde ha fog att utesluta adoptant och hans </w:t>
      </w:r>
      <w:r>
        <w:rPr>
          <w:b/>
        </w:rPr>
        <w:t>maka³</w:t>
      </w:r>
      <w:r>
        <w:rPr>
          <w:b w:val="0"/>
        </w:rPr>
        <w:t xml:space="preserve"> från arvsrätt efter adoptivbarn, skulle vara i fråga om förmögenhet, som adoptivbarnet genom arv eller testamente bekommit efter sina köttsliga föräldrar eller köttsliga släktingar. Därmed skulle ett fall uppkomma, som vore analogt med det enda fall, då adoptanten enligt nuvarande lagstiftning kan få ärva sitt adoptivbarn. Men för ett i verkligheten så sällsynt förekommande undantagsfall som det nu förutsatta synes man till och med kunna ifrågasätta, om det är nödvändigt att lagstifta, i synnerhet som adoptanten ju påkostat adoptivbarnets uppfostran och 1 övrigt dragit försorg om detsamma.</w:t>
        <w:br/>
        <w:br/>
        <w:t>I detta sammanhang kan jag icke underlåta att framhålla, att följdriktigheten i fråga om arvsrätt för och efter adoptivbarn synes</w:t>
        <w:br/>
        <w:br/>
        <w:t>bjuda, att adoptivbarnet i alla fall, utom då det gäller inskränkning</w:t>
        <w:br/>
        <w:br/>
        <w:t>till förmån för äkta barns laglott, bleve fullt likaberättigat i arvshänseende med äkta barn, men att det däremot uteslötes från arvsrätt inom sin köttsliga släkt.</w:t>
        <w:br/>
        <w:br/>
        <w:t>Då utskottet icke kommit med några sakskäl gent emot min motion, utan till stöd för sitt avslagsyrkande åberopat herr Alexandersons, helt andra saker angående, motion och därjämte i övrigt endast stött sig på 1917 års riksdags, enligt vad jag tror mig ha visat, ohållbara motiv i fråga om ekonomiska beräkningar hos adoptanten, skulle det ligga närmast till hands för mig att yrka återremiss till utskottet för förnyad behandling av ärendet. Då jag emellertid inser, att för närvarande härmed icke skulle vara något att vinna, och då jag är övertygad, att jag med denna motion i allt fall så att säga berelt marken för en blivande snar revision av adoptions-</w:t>
        <w:br/>
        <w:br/>
        <w:t>lagen i den av mig föreslagna riktningen, skall jag, herr talman, icke framställa något yrkande.</w:t>
      </w:r>
    </w:p>
    <w:p>
      <w:pPr>
        <w:pStyle w:val="Heading2"/>
      </w:pPr>
      <w:r>
        <w:t>2. Ivar Pettersson (Bondeförbundet, man)</w:t>
      </w:r>
    </w:p>
    <w:p>
      <w:r>
        <w:rPr>
          <w:b w:val="0"/>
        </w:rPr>
        <w:t>Herr talman! Det förvånar mig, att den föregående talaren icke framställde något yrkande, då han i alla fall var så säker på sin sak, att han kunde påstå, att utskottet icke ens inlåtit sig på en verklig prövning av den fråga, han väckt på tal, och då han kunde påstå, att utskottet icke åberopat något som helst sakskäl till stöd för sitt avslagsyrkande.</w:t>
        <w:br/>
        <w:br/>
        <w:t>Då emellertid motionären nu var nog anspråkslös att icke framställa något yrkande, kunde jag också avstått från att svara honom, men hans yttrande innehöll ett par angrepp, som jag icke kan lämna alldeles obeaktade.</w:t>
        <w:br/>
        <w:br/>
        <w:t>Först och främst sade motionären, att det endast varit på for- :mella skäl som utskottet grundat sitt yrkande om avslag å hans motion. Jag kan inte förstå, att detta är riktigt, då utskottet ju i slutet av betänkandet förklarar sig biträda den mening, som uttalades vid lagens antagande, nämligen att man borde se till, att den som adopterar, icke får något ekonomiskt intresse av adoptionen. Detta skäl har åberopats av lagberedningen, och utskottet har för sin del funnit det riktigt. «</w:t>
        <w:br/>
        <w:br/>
        <w:t>När motionären nu mycket bestämt påstår, att följdriktigheten i fråga om arvsrätten kräver ett bifall till hans motion, så vill jag inte bestrida detta i och för sig, men jag vill säga, att även andra hänsyn än hänsyn till den stränga följdriktigheten måste spela in, när man stiftar en dylik lag. Här har ej blott lagberedningen utan även Kungl. Maj:t och riksdagen ansett, att önskvärdheten av att man så fullständigt som möjligt borteliminerar det ekonomiska intresset å adoptantens sida av adoptionen bör vara bestämmande. Det är möjligt, att detta kommer i strid med den stränga följdriktighet, som motionären talat om, men icke desto mindre anser jag den av statsmakterna godkända synpunkten vara väl försvarlig.</w:t>
        <w:br/>
        <w:br/>
        <w:t>Nu säger motionären visserligen — om jag fattade honom rätt — att, om man bifölle hans motion, man därmed icke skulle uppmuntra till några egennyttiga adoptioner. Men det är fråga ändå, om man inte, då man vill avskära möjligheten för adoptanten att vinna på adoptionen, bör göra detta så grundligt som möjligt, och om inte denna tanke bör resultera däri, att man så långt som skett av-</w:t>
        <w:br/>
        <w:br/>
        <w:t>stänger adöptanten från arvsrätt efter adoptivbarnet, det vill säga endast i inskränkt mån tillerkänner adoptanten sådan arvsrätt.</w:t>
        <w:br/>
        <w:br/>
        <w:t>Vidare påstod den ärade motionären, att det var fullkomligt oriktigt av utskottet att åberopa vad som förekom vid behandlingen av herr Alexandersons motion år 1917, ty denna motion är, sade han, något helt annat än den nu föreliggande motionen. J a, det är klart, att det icke är samma motion — yrkandena äro Ju olika. Men om man ser på det syfte, som ligger bakom herr Alexandersons motion, finner man att det just är en farhåga för att adoptionsförslaget i dess första lydelse skulle verka avskräckande på personer, som vilja adoptera. Han: talar om, att stockholmsadvokaterna hade kommit till den slutsatsen, att man i regeln måste ställa sig avrådande "till steget att adoptera, om det först framlagda förslagets arvsregler i dess ursprungliga skick upphöjdes till lag. Det var alltså fruktan för att adoptionsinstitutet icke skulle bli till den nytta som man avsett med detsamma, som föranlett herr Alexanderson att år 1917 framlägga sin motion.</w:t>
        <w:br/>
        <w:br/>
        <w:t>Vad ligger nu bakom herr Kants motion? Jo, han säger, att de nuvarande bestämmelserna, sådana de blivit antagna, leda till ett resultat, som icke är ägnat att främja det med lagen avsedda syftet. nämligen att i största möjliga utsträckning åt ett barn, som saknar hem, bereda ett sådant under betryggande former. Han finner vidare, att dessa bestämmelser icke äro förenliga med billighet och rättvisa.</w:t>
        <w:br/>
        <w:br/>
        <w:t>Såvitt jag kan se, är det således i huvudsak alldeles samma hänsyn, vilka ligga till grund för herr Kants motion, som de, vilka på sin tid lågo bakom herr Alexandersons motion. Men dessa hänsyn hava ingalunda blivit obeaktade vid lagens antagande, såsom framgår av utskottets utlåtande i den del, för vilken även motionären redogjorde. Då dessa hänsyn således icke förblivit obeaktade, ehuru de icke kunnat beaktas så fullständigt som motionären yrkat, tror jag att det tilisvidare är lämpligt att stanna vid den lydelse som lagen för närvarande har. Jag ber att få yrka bifall till utskottets hernstillan.</w:t>
      </w:r>
    </w:p>
    <w:p>
      <w:pPr>
        <w:pStyle w:val="Heading2"/>
      </w:pPr>
      <w:r>
        <w:t>3. Walter Kant (Lantmanna- och borgarepartiet inom andrakammaren, man)</w:t>
      </w:r>
    </w:p>
    <w:p>
      <w:r>
        <w:rPr>
          <w:b w:val="0"/>
        </w:rPr>
        <w:t>Herr talman, mina herrar! Utskottets ärade ordförande har förebrått mig, att jag erinrat, att utskottet endast anfört formella skäl och icke ingått på några sakliga skäl, då det gällt</w:t>
        <w:br/>
        <w:br/>
        <w:t>att avslå min motion. Jag måste emellertid fasthålla vid detta. J ag</w:t>
        <w:br/>
        <w:br/>
        <w:t>kan icke läsa utskottets utlåtande på annat sätt än att utskottet har tagit rent formellt på denna sak och icke ingått på någon saklig diskussion av frågan.</w:t>
        <w:br/>
        <w:br/>
        <w:t>Det är väl dock alldeles orimligt detta, att, om ett adoptivbarn ärver en förmögenhet av adoptanten och barnet sedan faller ifrån, denna förmögenhet, som kommit från adoptanten, skall gå kanske till barnets morbröder och mostrar, vilka måhända ej ens vetat av att något sådant barn existerat, i stället för att förmögenheten skulle gå till adoptantens syskon, vilka kanske stått denne mycket nära och genom denne också adoptivbarnet. Jag anser, att denna arvs-</w:t>
        <w:br/>
        <w:br/>
        <w:t>ordning är rent absurd, och jag kan icke förstå, att en sådan absurditet någonsin inkommit i denna lagstiftning. Jag vill emellertid uttala den förhoppningen, att det icke skall dröja alltför länge, innan denna bestämmelse försvinner ur lagen.</w:t>
        <w:br/>
        <w:br/>
        <w:t xml:space="preserve">Utskottets ärade ordförande nämnde vidare, att jag icke skulle tillräckligt ha beaktat, att det kunde finnas egennyttiga beräkningar vid adoption av ett barn. Ja, det är ju möjligt, att det i ett eller annat fall kan vara så, men jag vill bestämt påstå, att i 999 fall av 1,000 detta icke är förhållandet. Utskottet synes mig vara ganska verklighetsfrämmande, när utskottet håller så styvt på denna sak. I regel, ja nästan undantagslöst är det väl vid adoption så, att det är små fattiga barn, som upptagas i välbärgade hem. För den skull vore det väl bäst, om förhållandet mellan adoptivbarnet och dess gamla släkt helt och hållet avklipptes; och i de flesta fall blir det väl också så. Varken fosterföräldrarna eller t. ex. en ogift </w:t>
      </w:r>
      <w:r>
        <w:rPr>
          <w:b/>
        </w:rPr>
        <w:t>mor²</w:t>
      </w:r>
      <w:r>
        <w:rPr>
          <w:b w:val="0"/>
        </w:rPr>
        <w:t xml:space="preserve"> till det adopterade barnet vilja, att förhållandet skall vara känt, utan alla önska, att adoptivbarnet verkligen skall så helt införlivas med den nya släkten, att det skall anses som en medlem av denna. Jag tror för min del att det är mycket få och uppkonstruerade fall, där man vid adoption kan tala om egennyttiga beräkningar från adoptantens sida.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