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413</w:t>
      </w:r>
    </w:p>
    <w:p>
      <w:r>
        <w:rPr>
          <w:b/>
        </w:rPr>
        <w:t xml:space="preserve">Datum: </w:t>
      </w:r>
      <w:r>
        <w:t>1921-06-01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(Första kammarens nationella parti, man)</w:t>
      </w:r>
    </w:p>
    <w:p>
      <w:r>
        <w:rPr>
          <w:b w:val="0"/>
        </w:rPr>
        <w:t xml:space="preserve">Jag kom en gång i yngre dagar upp på en tidningsredaktion, vars redaktör jag kände och där man hade med vissa ekonomiska svårigheter att kämpa. Jag frågade honom, hur det stod till med ekonomien, och han svarade, att om man blott hade lika bra nummer alltid, som han skulle komma att få den ifrågavarande dagen, skulle nog ekonomien reda sig. Jag frågade honom då, vad det var som gjorde, att det numret var så bra. Jo, sade han, det var en käring i en förstad till det samhälle, där vi bodde, som hade förgiftat sin </w:t>
      </w:r>
      <w:r>
        <w:rPr>
          <w:b/>
        </w:rPr>
        <w:t>dotter²</w:t>
      </w:r>
      <w:r>
        <w:rPr>
          <w:b w:val="0"/>
        </w:rPr>
        <w:t xml:space="preserve"> och därav hade man en beskrivning inne. Jag frågade naturligtvis, huru han kunde säga, att detta gjorde numret så bra, och han svarade, att det givetvis icke var hans mening, men han visste, att det under sådana förhållanden komme att säljas ungefär tusen lösnummer mera än vanligt, och genom sådana ,nummer skulle alltså ekonomien kunna hjälpas på</w:t>
        <w:br/>
        <w:br/>
        <w:t>att publicera med allt skäl är värt, att man försöker inskrida även ur synpunkten av</w:t>
        <w:br/>
        <w:br/>
        <w:t>daj eken he konkurrensen mellan olika tidningar. Jag tror, att tidningarna själva</w:t>
        <w:br/>
        <w:br/>
        <w:t>vissa grövre skulle vara tacksamma, om de nödgades hålla tillbaka något på detta brott. område.</w:t>
        <w:br/>
        <w:br/>
        <w:t>(Forts.) Då jag nu reserverat mig mot utskottets förslag, har detta således icke berott därpå, att jag icke skulle önska, att det steg skall tagas, som här är ifrågasatt, utan jag har gjort det, därför att jag ansett, att det vore mera logiskt om man i den föreliggande frågan kunde taga ytterligare ett steg, ett steg även utom tidningarnas område. Jag tror emellertid, att det nog under utredningen kommer att visa sig, huruvida det är möjligt att stanna vid tidningarna eller huruvida icke konsekvensen fordrar, att man går något längre och inskrider mot sådana referat, varom nu är fråga även i andra tryckalster än dagblad och periodiska skrifter. Kan man emellertid icke vinna allt, synes det mig önskvärt, att man försöker vinna så mycket som möjligt. Jag vill därför tillkännagiva, att jag icke har något emot att ett försök nu göres på tidningarnas område. Jag har intet yrkande.</w:t>
      </w:r>
    </w:p>
    <w:p>
      <w:pPr>
        <w:pStyle w:val="Heading2"/>
      </w:pPr>
      <w:r>
        <w:t>2. Nils Alexanderson (Liberala samlingspartiet, man)</w:t>
      </w:r>
    </w:p>
    <w:p>
      <w:r>
        <w:rPr>
          <w:b w:val="0"/>
        </w:rPr>
        <w:t>Herr talman! Jag måste säga, att efter min uppfattning skall det komma att visa sig bliva ytterligt svårt att effektuera. en riksdagsskrivelse sådan som konstitutionsutskottet här föreslår. Det lärer vara ytterst vanskligt att begränsa tryckfriheten på den punkt, varom här är fråga, utan att på samma gång åstadkomma en skadlig inskränkning i tryckfriheten. Jag är närmast av den uppfattningen, att det medel man har att begagna sig av på detta område — ett medel som verkligen är ganska effektivt — är icke lagstiftning utan den allmänna opinionens reaktion emot olämpliga företeelser inom pressen. Jag ber att få erinra om att tidigare har det tillfälligtvis framträtt mycket fula utväxter inom både den periodiska och den icke periodiska litteraturen, vilka föranlett uttalanden om nödvändigheten att inskrida genom en ändring av tryckfrihetsförordningen; men det har då visat sig, att det varit möjligt för den allmänna opinionen, när den rest sig och kraftigt reagerat och fått medhåll även av de affärsinnevare, genom vilka tryckalstren ifråga försålts, att rätt bra råda bot för dylika utväxter.</w:t>
        <w:br/>
        <w:br/>
        <w:t>Nu är det ju också en annan sak, som talar emot den av konstitutionsutskottet föreslagna åtgärden, och det är, att man skulle införa en alldeles ny princip i vår tryckfrihetslagstiftning, nämligen att draga tryckfrihetens materiella gränser olika för den periodiska pressen och för andra tryckalster. Jag tror, att när man närmare reflekterar över vad det innebär att göra ett sådant avsteg från rådande principer, skall man nog finna sig böra hesitera inför detta, och man skall nog, ifall man vill taga ett positivt steg i den av konstitutionsutskottet antydda riktningen, nödgas gå längre, gå den väg, på vilken herr Clason pekat i sin reservation.</w:t>
        <w:br/>
        <w:br/>
        <w:t>Emellertid vill jag icke bestämt motsätta mig, att riksdagen begär en Ang. rätten</w:t>
        <w:br/>
        <w:br/>
        <w:t>utredning angående möjligheten och lämpligheten av en lagstiftning så- 2? publicera dan konstitutionsutskottet här har föreslagit. Vid denna utredning lär”eferat m,m. väl också komma att tagas i övervägande, huruvida den av konstitutions-vissa grövre utskottet föreslagna begränsningen till periodiska pressalster är rim- = brott. lig. Jag tror för min del, att utredningen kommer att sluta i ett nega- (Forts.) tivt resultat, och jag skulle, om jag varit medlem av konstitutionsutskottet, knappast hava velat tillstyrka riksdagen bifall till motionen. Men då det nu föreligger ett yrkande av konstitutionsutskottet om en sådan utredning, tror jag å andra sidan icke, att det på detta stadium är anledning att taga någon definitiv ståndpunkt mot den föreslagna lagstiftningen, utan det blir väl tillfälle att taga ståndpunkt därtill, när man kan närmare överblicka, hur det kan ha lyckats med det vanskliga företag, på vilket konstitutionsutskottet här har velat råda oss att söka slå in.</w:t>
      </w:r>
    </w:p>
    <w:p>
      <w:pPr>
        <w:pStyle w:val="Heading2"/>
      </w:pPr>
      <w:r>
        <w:t>3. Carl Axel Reuterskiöld (Utan partibeteckning, man)</w:t>
      </w:r>
    </w:p>
    <w:p>
      <w:r>
        <w:rPr>
          <w:b w:val="0"/>
        </w:rPr>
        <w:t xml:space="preserve">Herr greve och talman! Den siste ärade talarens huvudsakliga invändning mot konstitutionsutskottets förslag t&gt;de vara den, att genom förslaget skymtar en ny princip, som skiljer mellan periodiska och icke periodiska skrifter med hänsyn till vad som får publiceras i vartdera av dessa slag. Jag vill i anledning därav endast stryka under, att de periodiska skrifterna, tidningspressen i våra dagar, har kommit att spela en helt annan roll än den gjort förut, och detta är ju även för den ärade talaren fullt bekant. Men det är ännu en sak, som utskottet här har beaktat, och det är, att denna press för hela vårt folk har blivit en nödvändighetsvara. Så gott som varenda människa i detta land får varje dag en eller flera tidningar, på vilka </w:t>
      </w:r>
      <w:r>
        <w:rPr>
          <w:b/>
        </w:rPr>
        <w:t>hon²</w:t>
      </w:r>
      <w:r>
        <w:rPr>
          <w:b w:val="0"/>
        </w:rPr>
        <w:t xml:space="preserve"> prenumererat. Därigenom får </w:t>
      </w:r>
      <w:r>
        <w:rPr>
          <w:b/>
        </w:rPr>
        <w:t>hon²</w:t>
      </w:r>
      <w:r>
        <w:rPr>
          <w:b w:val="0"/>
        </w:rPr>
        <w:t xml:space="preserve">, vare sig </w:t>
      </w:r>
      <w:r>
        <w:rPr>
          <w:b/>
        </w:rPr>
        <w:t>hon²</w:t>
      </w:r>
      <w:r>
        <w:rPr>
          <w:b w:val="0"/>
        </w:rPr>
        <w:t xml:space="preserve"> vill eller icke, del av alla sådana sensationella artiklar, som förekomma i denna press, och det är beträffande sådana artiklar, som mot vår vilja eller utan vår vilja sålunda nästan påtvingas oss, som utskottet har ansett, att det kan vara befogat, att ett kontrollförsök göres, fastän man har ögonen öppna för att det därmed införes en ny princip. I motsats till den föregående ärade talaren hyser jag den uppfattningen, att med god vilja skall ett positivt resultat kunna vinnas, som tillgodoser önskemålen utan att sätta något av värde i fara, och därför, herr greve och talman, ber jag, i förhoppning om ett sådant resultat av utredningen, att få yrka bifall till utskottets hemställan.</w:t>
        <w:br/>
        <w:br/>
        <w:t>”Av utredningen i ärendet framgår, att de nuvarande förhållandena vid garnisonssjukhuset i Boden icke äro i alla avseenden tillfredsställande, samt att på grund härav vissa förbättringar erfordras. Ett utförande av dessa förbättrade anordningar vid sjukhuset synes utskottet dock icke vara så trängande, att icke därmed kan under rådande finansiella svårigheter anstå.</w:t>
        <w:br/>
        <w:br/>
        <w:t>Utskottet anser det alltså icke för den militära sjukvårdens tillgodoseende nödvändigt, att det framlagda förslaget nu av riksdagen bifalles.</w:t>
        <w:br/>
        <w:br/>
        <w:t>Kungl. Maj:ts förslag synes i själva verket mindre avse ett tillgodoseende av den militära sjukvårdens krav än ett bispringande av Norrbottens läns landsting. Anses något sådant böra ske, varom utskottet icke nu velat uttala sig, bör i varje fall medel för detta ändamål beredas på annat sätt än genom anslag under fjärde huvudtiteln.</w:t>
        <w:br/>
        <w:br/>
        <w:t>Utskottet hemställer alltså, att Kungl. Maj:ts förevarande förslag icke må av riksdagen bifallas.”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