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1544</w:t>
      </w:r>
    </w:p>
    <w:p>
      <w:r>
        <w:rPr>
          <w:b/>
        </w:rPr>
        <w:t xml:space="preserve">Datum: </w:t>
      </w:r>
      <w:r>
        <w:t>1922-03-10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Euren (Lantmanna- och borgarepartiet inom andrakammaren, man)</w:t>
      </w:r>
    </w:p>
    <w:p>
      <w:r>
        <w:rPr>
          <w:b w:val="0"/>
        </w:rPr>
        <w:t>Herr talman! Endast några ord.</w:t>
        <w:br/>
        <w:br/>
        <w:t>När den föregående talaren talade om livslängden och att tandläkarna borde ha längre livslängd, därför att man väntade, att just de skulle ha bäst vårdade tänder, så får jag säga, att det är väl icke på allvar han kommer med ett sådant skäl. De flesta läkare bliva icke gamla, ty den som sliter ut sig i andras tjänst blir icke själv gammal, om han är aldrig så skicklig läkare.</w:t>
        <w:br/>
        <w:br/>
        <w:t>Den föregående talaren sade vidare, att han icke trodde, att tusentals människor skulle kunna skötas väl på samma klinik. Jag skall då meddela, att på Stockholms tandpoliklinik skötas mer än 40,000 människor per år, och jag tror de skötas ganska väl, eftersom de besöka den så talrikt.</w:t>
        <w:br/>
        <w:br/>
        <w:t>Så säger herr Lovén, att därför att vi i utskottet fordra, att tandläkarna skola vara skickligt folk, så ha vi i och med detsamma sagt, att det icke kan åstadkommas någon billig tandvård. Hur detta skall gå till är mycket lätt att förstå, om man har reda på, vad som menas med en poliklinik. Det kanske icke herr Lovén har riktigt klart för sig. Det är mycket lätt att på en dylik få en både tillfredsställande och billig tandvård. Jag tänker mig en ort som t. ex. Nässjö, som är en knutpunkt, att där anställas t. ex. två tandläkare med nödig lokal och nödiga tekniska biträden. — Jag skall inom parentes be att få säga, att just det hantverksmässiga hos tandläkarkonsten är det meningen att sköta hantverksmässigt. d. v. s. det skall skötas av de tekniska biträdena, av tandtekniker. Men de skola icke ha ansvaret, när det gäller att bedöma från läkarsynpunkt, huruvida den ena eller andra behandlingen måste anses lämplig eller nödvändig. — Alltså som exempel en sådan klinik, där det finns två tandläkare, som taga allt ansvar för behandlingen men sätta tekniska biträden till att arbeta med vad som kan anförtros åt dem. De ha, låt oss säga, tre tandsköterskor och en tandtekniker vardera. Under sådana förhållanden anser jag, att de mycket väl skulle kunna sköta den nu ifrågavarande tandvården för en god del av hela Jönköpings län. Det fordras naturligtvis, att dessa tandläkare avlönas så, att vi få skickliga tandläkare att sköta denna klinik. Vidare måste tekniska biträden och tandsköterskor</w:t>
        <w:br/>
        <w:br/>
        <w:t xml:space="preserve">också avlönas så, att de skickliga kunna erhållas. Detta torde väl Ang. villkor vara det enda praktiska sättet att åstadkomma en god och billig för inde vid tandvård t. ex. i Jönköpings län. Och efter ett dylikt mönster anjnsttutet mm. ser jag, att landet i övrigt bör gå då det gäller allmän folktandvård. (Forts.) Men märk väl mina damer och herrar, under förutsättning, att man börjar med skoltandkliniker. Men vad dessa beträffar skulle man mycket väl kunna tänka sig ambulerande tandläkare med biträden och </w:t>
      </w:r>
      <w:r>
        <w:rPr>
          <w:b/>
        </w:rPr>
        <w:t>sköterskor³</w:t>
      </w:r>
      <w:r>
        <w:rPr>
          <w:b w:val="0"/>
        </w:rPr>
        <w:t>, som resa från skola till skola. Jag tror åtminstone, att det är ett av sätten. Ett annat sätt är möjligen att låta en skolklass resa in till en klinik på vissa dagar på året. Det kan ju tänkas många sätt att ordna detta på. Allt detta är åtminstone antytt i utskottets utlåtande likaväl som orsaken varför vi icke föreslå ytterligare ny utredning. Vi hava icke velat vara med om onödiga utredningar. Den senaste utredningen och även den föregående ha kostat så stora summor, att kunna vi inbespara något, så tror jag, vi handla välbetänkt. Herr talman! Det är intet, som föranlett mig att ändra mitt yrkande på bifall till utskottets förslag.</w:t>
      </w:r>
    </w:p>
    <w:p>
      <w:pPr>
        <w:pStyle w:val="Heading2"/>
      </w:pPr>
      <w:r>
        <w:t>2. Agda Östlund (Socialdemokraterna, woman)</w:t>
      </w:r>
    </w:p>
    <w:p>
      <w:r>
        <w:rPr>
          <w:b w:val="0"/>
        </w:rPr>
        <w:t>Herr talman! Kammarledamöter! Det kunde vara betänkligt att söka tala för en motion, vilken ett enhälligt utskott — i vilket jag för övrigt har förmånen att vara ledamot — har yrkat måtte till ingen kammarens åtgärd föranleda. Detta korta, kalla »till ingen åtgärd» skulle ju lätt kunna tänkas avsett att avklippa varje möjlighet ens att kunna våga hoppas på någon framgång för i motionen uttalade önskemål. Men som var och en, som läser betänkandet, själv kan se, så finns det icke en rad i det hela, som tyder på, att utskottet funnit saken för obetydlig eller oberättigad, utan tvärtom möter förståelse och sympati för motionens 'syfte. Och jag skall be att få citera några crd i utskottsbetänkandet, som bevisar detta. Så säger utskottet alldeles i början av sitt utlåtande: »Det i förevarande motion avhandlade ämnet är enligt utskottets mening av den vikt och beskaffenhet, att det måste anses vara förtjänt av statsmakternas synnerliga beaktande.» Och när utskottet senare har utvecklat sin tanke om saken, så säger utskottet: »Av vad i det föregående anförts torde vara tydligt, att utskottet finner en utredning rörande lämpligaste sättet att åstadkomma vård åt tuberkulösa konvalescenter vara i hög grad av behovet påkallad.» Och om jag så får citera slutklämmen i motiveringen, som jag för min del helst skulle ha önskat, att utskottet kunnat göra till sitt yrkande, så heter det: »Under uttalande av sin förvissning, att den utredning, som från nationalföreningen är att förvänta, skall vinna beaktande av vederbörande myndigheter och så fort förhållandena medgiva föranleda förslag från Kungl. Maj:ts sida, får utskottet», o. s. v.</w:t>
        <w:br/>
        <w:br/>
        <w:t>Dessa ord säga ju tydligt nog, att det uteslutande varit formella skäl, som gjort, att detta avslagsyrkande kommit. Och de motiv, som utskottet åberopar och för vilka jag ansåg mig böra böja mig, äro ju, att Svenska nationalföreningen mot tuberkulos under de senaste åren vidtagit en dylik utredning och att densamma</w:t>
        <w:br/>
        <w:br/>
        <w:t>snart nog är färdig. De motiven kunna leda till den tanken, att Ang. lämpligt motionärerna bort känna till detta. Men om så icke var fallet, så bei visste vi dock, att man såväl i nationalföreningen som mom intresserasjuka konvalede läkarkretsar och bland de sjuka under många år sysslat med detta = scenter. spörsmål. Det är omkring tio år sedan de av doktor Berglund i mo- = (Forts) tionen refererade uttalandena gjordes. Och vi motionärer i såväl första som andra kammaren äro fullt övertygade om, att det icke bör och icke får skjutas på denna sak längre. Ju längre det dröjer. innan sanatorievården blir kompletterad med dessa kolonihem, ju flere människor förgås. Men då ju alltid penningfrågan blir avgörande för realiserandet av frågan, vore ju staten den rätte initiativtagaren.</w:t>
        <w:br/>
        <w:br/>
        <w:t>Huru aktuell denna fråga är t. ex. inom läkarkretsar, fick jag nytt bevis på genom ett häromdagen gjort uttalande, av föreståndaren för Stockholms stads tuberkulosbyrå doktor Kjellin. Han sade: »Om jag haft pengar, skulle jag för länge sedan på egen risk ställt i gång med en dylik arbetskoloni.&gt; Man ställer sig sannerligen icke beredd att för saken till och med offra av vad man själv har om man icke känner, att det är en nödvändig sak, som behöver göras. Men så har också denne läkare sitt arbete på tuberkulosbyrån uteslutande bland de mindre bemedlade. Och samme nyss citerade läkare har haft sikte på en annan sak, som visserligen icke beröres i motionen men som i och för sig är ganska betydelsefull. Det är, att i och med upprättandet av i motionen omnämnda arbetskolonier skulle ungdom, som åtnjutit sjukvård, kunna få tillfälle att få utbildning i lämpligt yrke, vilket nu ofta icke blir fallet tyvärr.</w:t>
        <w:br/>
        <w:br/>
        <w:t xml:space="preserve">Man har så många gånger uttalat tvivel om nyttan av sanatorievård, och dock veta vi, att den sjukes hela, för att icke säga sista hopp står till den. Men om den sålunda vårdade icke kan behålla den hälsa han återvunnit eller åtminstone den förbättring han undergått på sanatoriet, så är det ofta beroende på de omständigheter, som möta honom eller </w:t>
      </w:r>
      <w:r>
        <w:rPr>
          <w:b/>
        </w:rPr>
        <w:t>henne²</w:t>
      </w:r>
      <w:r>
        <w:rPr>
          <w:b w:val="0"/>
        </w:rPr>
        <w:t>, då de återvända till vardagsförhållandena. Det är oftast brist på arbete och därmed brist på allt. Det är, som någon sade till mig här om dagen: de få sörja för mycket. Detta är nog sanningen i all sin bitterhet.</w:t>
        <w:br/>
        <w:br/>
        <w:t>Då jag emellertid i utskottet icke har reserverat mig mot utskottets yrkande, beror det icke på att jag har ändrat mening, sedan jag lämnade in motionen. Men då vi fingo detta meddelande, att nationalföreningens utredning var i det närmaste färdig, ansåg jag, att om vi väntat på denna utredning en tio år, så kunde vi eventuellt vänta ett par månader till. Och jag ansåg, att man möjligen kunde inom så mycket kortare tid förvänta ett förslag från Kungl. Maj:t, än om vi ännu ett par år skulle vänta på en ny utredning.</w:t>
        <w:br/>
        <w:br/>
        <w:t>Jag skall icke säga mer om motionen eller saken, och jag tror, att kanske kammarens ledamöter ändå i grund och botten ha tänkt på denna sak förut och kanske äro eniga med motionärerna. Men jag vill bara säga det. att den starka motiveringen till de motioner, som väckts i denna fråga, är grundad på mångårig erfarenhet och</w:t>
        <w:br/>
        <w:br/>
        <w:t>övertygelse, att snart hjälp är dubbel hjälp. Och jag tror, att ingen, som kommit i någon beröring med tuberkulossjukvård, kan stå likgiltig eller tveksam inför den påtagliga nödvändigheten att snarast möjligt bringa denna fråga till lösning. Om de synpunkter, som tala för åtgärder i motionens syfte, har utskottet varit fullt enigt.</w:t>
        <w:br/>
        <w:br/>
        <w:t>När jag nu begärde ordet i denna fråga, så var det icke för att tala för utskottets yrkande. Men jag har velat begagna detta tillfälle att å deras vägnar, som motionen avser att skydda, rikta en den varmaste vädjan till regeringen att, då nationalföreningens utredning föreligger färdig, taga sig an denna sak och att, för att än en gång citera utskottet, »så fort förhållandena medgiva» ett förslag i motionens syfte må vara att förutse.</w:t>
        <w:br/>
        <w:br/>
        <w:t>Herr talman! Jag har således intet yrkande.</w:t>
      </w:r>
    </w:p>
    <w:p>
      <w:pPr>
        <w:pStyle w:val="Heading2"/>
      </w:pPr>
      <w:r>
        <w:t>3. Ivar Vennerström (Socialdemokraterna, man)</w:t>
      </w:r>
    </w:p>
    <w:p>
      <w:r>
        <w:rPr>
          <w:b w:val="0"/>
        </w:rPr>
        <w:t xml:space="preserve">Herr talman! Efter det </w:t>
      </w:r>
      <w:r>
        <w:rPr>
          <w:b/>
        </w:rPr>
        <w:t>kvinnligt¹</w:t>
      </w:r>
      <w:r>
        <w:rPr>
          <w:b w:val="0"/>
        </w:rPr>
        <w:t xml:space="preserve"> varma anförande, med vilket en </w:t>
      </w:r>
      <w:r>
        <w:rPr>
          <w:b/>
        </w:rPr>
        <w:t>kvinnlig¹</w:t>
      </w:r>
      <w:r>
        <w:rPr>
          <w:b w:val="0"/>
        </w:rPr>
        <w:t xml:space="preserve"> ledamot av andra kammaren för första gången tagit till orda, skulle jag icke djärvts att uttala en avvikande mening vad gäller själva anförandets resultat, såvitt det icke även för mig själv hade varit, låt mig säga, en hjärtesak att göra vad verkligen göras kan för att i denna fråga påskynda snara åtgärder. Vi stå i detta fall inför en viktig hygienisk fråga, och det gäller ingenting mer och ingenting mindre än detta, huruvida alla de väldiga utgifter och ansträngningar, som statsmakterna nedlägga på Fet erasden, skola leda till det resultat, som vi alla innerst syfta till.</w:t>
        <w:br/>
        <w:br/>
        <w:t>Jag har inom Västernorrlands läns landsting haft min huvudsakliga verksamhet förlagd till områden, som röra sanatorievården, som röra dispensärerna o. s. v., och jag kan därför av egen erfarenhet på det varmaste understryka de ord, som fällts av den förste talaren och i motionen om att detta är en synnerligen viktig sak såväl för statsmakterna som för de tuberkulossjuka. Det är många tuberkulosläkare, som ha sagt mig, att hela tuberkulossjukvården är till stor del vanmäktig, om man icke kan erhålla möjlighet för dem, som vårdats på sanatorier att, sedan de kommit ut därifrån, kunna få lämpligt arbete, lämplig vila o. s. v. Det är även många sjuka, som till mig framfört samma synpunkter, att för dem är det viktigaste nödvändiga, att man ordnar det på sådant sätt, att de efter sanatorievistelsen kunna beredas lämpligt arbete och även lämplig vila.</w:t>
        <w:br/>
        <w:br/>
        <w:t xml:space="preserve">Nu har emellertid utskottet, såsom också framhölls av </w:t>
      </w:r>
      <w:r>
        <w:rPr>
          <w:b/>
        </w:rPr>
        <w:t>fru²</w:t>
      </w:r>
      <w:r>
        <w:rPr>
          <w:b w:val="0"/>
        </w:rPr>
        <w:t xml:space="preserve"> Östlund, av rent formella skäl yrkat avslag på en motion, i vilkens argumentering och syfte utskottet fullkomligt enhälligt uttalat sitt allra varmaste instämmande. Det synes mig vittna om en väl överdriven formalism, när man av enbart formella skäl yrkar avslag på en sådan motion, vilken, som sagt, rönt det varmaste instämmande från hela det utskott, som behandlat motionen ifråga. Man har hänvisat till en pågående privat utredning, som föranstaltats av natio-</w:t>
        <w:br/>
        <w:br/>
        <w:t>nalföreningen mot tuberkulos. Det är mig veterligen första gången, Ang. lämpligt som det förekommer åtminstone i andra kammaren, alt man med hänee visning till en privat utredning säger, att stalsmakterna tills vidare sjuka konvaleingenting böra göra. Jag skulle kunna förstå denna formalism, ifall scenter. det gällde en utredning, som redan är igångsatt av statsmakterna (Forts.) själva, där det alltså föreligger ett beslut från riksdagen eller ett initiativ från regeringens sida. Men den behandling en motion av</w:t>
        <w:br/>
        <w:br/>
        <w:t>herr Anders Pers nyligen rönte i första kammaren visar, att vid det tillfället bröt första kammaren med dessa traditioner och fattade po-</w:t>
        <w:br/>
        <w:br/>
        <w:t>sitivt beslut, ehuru utredning redan pågick med anledning av förut vidtagna åtgärder från statsmakternas sida. När man inom första kammaren gick så långt, skulle då icke andra kammaren, när det här föreligger endast en privat utredning, med hänsyn till de varma in-</w:t>
        <w:br/>
        <w:br/>
        <w:t>tressen, som äro knutna vid denna motion, djärvas gå så långt utan-</w:t>
        <w:br/>
        <w:br/>
        <w:t>för formerna, att man direkt bifaller en motion, om vars syfte vi alla</w:t>
        <w:br/>
        <w:br/>
        <w:t>äro fullkomligt överens? |</w:t>
        <w:br/>
        <w:br/>
        <w:t>Jag vill säga, att denna utredning, som snarligen, efter vad det</w:t>
        <w:br/>
        <w:br/>
        <w:t>sägs redan inom två månader föreligger, är för mig icke någon argumentering för avslag utan snarare en stark argumentering för bifall</w:t>
        <w:br/>
        <w:br/>
        <w:t>till motionens yrkande. Det är visst icke så, att om man bifaller mo-</w:t>
        <w:br/>
        <w:br/>
        <w:t>tionen, man bör föranstalta någon ny utredning på lång sikt, kanske</w:t>
        <w:br/>
        <w:br/>
        <w:t>på ett par år, utan tvärtom, då utredning föreligger från nationalföre-</w:t>
        <w:br/>
        <w:br/>
        <w:t>ningen och den är verkställd av det mest sakkunniga folk som finns,</w:t>
        <w:br/>
        <w:br/>
        <w:t>skulle man då icke omedelbart kunna från regeringens sida taga fatt</w:t>
        <w:br/>
        <w:br/>
        <w:t>på utredningen och efter någon liten ytterligare bearbetning redan</w:t>
        <w:br/>
        <w:br/>
        <w:t>vid nästa riksdag framkomma med förslag på grundval av denna bearbetning av utredningen? Den utredning, som pågår och snarli-</w:t>
        <w:br/>
        <w:br/>
        <w:t>gen föreligger, är alltså för mig ett starkt argument till förmån för</w:t>
        <w:br/>
        <w:br/>
        <w:t>att man omedelbart giver regeringen direktiv att, när utredningen föreligger, göra en bearbetning därav och sedan snarast möjligt fram- "lägga förslag. Och vi nå fram till en sådan lösning genom att bi-</w:t>
        <w:br/>
        <w:br/>
        <w:t xml:space="preserve">falla den av herr Wahl i första kammaren och </w:t>
      </w:r>
      <w:r>
        <w:rPr>
          <w:b/>
        </w:rPr>
        <w:t>fru²</w:t>
      </w:r>
      <w:r>
        <w:rPr>
          <w:b w:val="0"/>
        </w:rPr>
        <w:t xml:space="preserve"> Östlund i denna kammare väckta motionen. Sedan är det ett argument till, som kanske på många verkar en</w:t>
        <w:br/>
        <w:br/>
        <w:t>smula för känsligt, men som jag tror icke bör fullständigt förbises</w:t>
        <w:br/>
        <w:br/>
        <w:t xml:space="preserve">här i denna realiteternas kammare. </w:t>
      </w:r>
      <w:r>
        <w:rPr>
          <w:b/>
        </w:rPr>
        <w:t>Fru²</w:t>
      </w:r>
      <w:r>
        <w:rPr>
          <w:b w:val="0"/>
        </w:rPr>
        <w:t xml:space="preserve"> Östlund yttrade några ord</w:t>
        <w:br/>
        <w:br/>
        <w:t>om det yrkande, som här föreligger från utskottet, nämligen att mo-</w:t>
        <w:br/>
        <w:br/>
      </w:r>
      <w:r>
        <w:rPr>
          <w:b/>
        </w:rPr>
        <w:t>fru²</w:t>
      </w:r>
      <w:r>
        <w:rPr>
          <w:b w:val="0"/>
        </w:rPr>
        <w:t xml:space="preserve"> Östlund fällde därvid det uttalandet, att det var »korta och kalla</w:t>
        <w:br/>
        <w:br/>
        <w:t>ord». Vad är det, som sker i detta nu? Här finnas i Sveriges byg-</w:t>
        <w:br/>
        <w:br/>
        <w:t>der hundratals fattiga tuberkulossjuka, kanske dödssjuka människor,</w:t>
        <w:br/>
        <w:br/>
        <w:t>som vänta på denna motions behandling i första och andra kamma-</w:t>
        <w:br/>
        <w:br/>
        <w:t>ren. Jag anser för min del, att detta är ett psykologiskt, mänskligt</w:t>
        <w:br/>
        <w:br/>
        <w:t>skäl för att man bör giva dem en vink om att kammaren icke är så likgiltig utan tvärtom är beredd att göra det mesta möjliga. Om det-</w:t>
        <w:br/>
        <w:br/>
        <w:t>ta kan komma att verka på ett sådant sätt, att det kanske ingiver dem</w:t>
        <w:br/>
        <w:br/>
        <w:t>det lilla hopp och den optimism, som de behöva, böra vi väl lämna formaliteterna och vara beredda att giva dem den hälsningen, att vi vilja</w:t>
        <w:br/>
        <w:br/>
        <w:t>snarast möjligt göra det mesta möjliga för att lätta deras tunga kamp</w:t>
        <w:br/>
        <w:br/>
        <w:t>arbete åt tuberkulos-</w:t>
        <w:br/>
        <w:br/>
        <w:t>egna ord — giva dem detta korta och kalla svar, visserligen med möj-</w:t>
        <w:br/>
        <w:br/>
        <w:t>sjuka konvalelighet att söka reda på argumenteringen i utskottets motivering, utan</w:t>
        <w:br/>
        <w:br/>
        <w:t>man bör giva dem med tidningspressen just det svaret, att vi fattat ett positivt beslut, att det skall verkställas utredning snarast möjligt och att förslag skall framläggas.</w:t>
        <w:br/>
        <w:br/>
        <w:t xml:space="preserve">Jag vill vädja till kammaren, att vi, som alla äro ense om att något bör göras för att här bereda hjälp, för en gångs skull lämna formlerna och utan vidare enhälligt bifalla den av </w:t>
      </w:r>
      <w:r>
        <w:rPr>
          <w:b/>
        </w:rPr>
        <w:t>fru²</w:t>
      </w:r>
      <w:r>
        <w:rPr>
          <w:b w:val="0"/>
        </w:rPr>
        <w:t xml:space="preserve"> Östlund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