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1588</w:t>
      </w:r>
    </w:p>
    <w:p>
      <w:r>
        <w:rPr>
          <w:b/>
        </w:rPr>
        <w:t xml:space="preserve">Datum: </w:t>
      </w:r>
      <w:r>
        <w:t>1923-02-15</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Anders Paulsen (Socialdemokraterna, man)</w:t>
      </w:r>
    </w:p>
    <w:p>
      <w:r>
        <w:rPr>
          <w:b w:val="0"/>
        </w:rPr>
        <w:t xml:space="preserve">Herr talman! Vid nedskrivandet av 1917 års barnavårdslag lade man icke endast vikt på att taga hänsyn till barnets rätt och bästa, utan man lade särskild vikt på att förhållandet mellan fader och </w:t>
      </w:r>
      <w:r>
        <w:rPr>
          <w:b/>
        </w:rPr>
        <w:t>moder²</w:t>
      </w:r>
      <w:r>
        <w:rPr>
          <w:b w:val="0"/>
        </w:rPr>
        <w:t xml:space="preserve"> reglerades så rättvist som möjligt. Detta har också lyckats överhuvud taget. Men det är i varje fall alldeles givet — man må vid förarbetena för en lagstiftning ha sett saken från så många sidor som möjligt och lagt sig vinn om den så mycket som möjligt — man skall ändå finna, att när lagen skall tillämpas &gt; det levande livet, så stöter man på förhållanden, som man antingen icke tänkt på eller icke tillräckligt beaktat.</w:t>
        <w:br/>
        <w:br/>
        <w:t>Det är icke så svårt för barnavårdsmannen att få faderskapet fastställt och icke heller att få fadern att underskriva en förbindelse att lämna en viss summa i underhåll. Nej, den svåraste uppgiften möter, när barnavårdsmannen skall få honom att fullgöra denna förbindelse. Därvid har man att tillgripa införsel i lön eller utmätning. Nu förhåller det sig så, att om fadern har fast anställning, så ordnar sig vanligen saken av sig själv. Men så är icke alltid förhållandet. Har man hotat fadern med införsel i lönen för att han må kunna rullgöra sin understödsplikt, så slutar han ofta sin anställning och «er sig iväg till annat håll. Det tar då tid att få reda på honom. Under tiden arbetar mannen på sin nya anställning och uppbär sin avlöning oavkortad, till dess att barnavårdsmannen ånyo får tag i honom. Då skuddar han åter stoftet av sina fötter och ger sig av till tt annat håll. Så fortgår det med detta slags människor. Den un-</w:t>
        <w:br/>
        <w:br/>
        <w:t xml:space="preserve">derhållsskyldige är ständigt på resor och arbetar ena månaden här och den andra månaden där eller ena veckan eller dagen här och den andra där, till dess han anträffas av barnavårdsmannen, om han ens någonsin anträffas. Jag vågar säga, att det är icke många kronor, som barnavårdsmannen kan pressa ur en sådan underhållspliktig, och det finnes icke få sådana fäder i detta land. Under tiden får modern klara sig och sitt barn så gott </w:t>
      </w:r>
      <w:r>
        <w:rPr>
          <w:b/>
        </w:rPr>
        <w:t>hon²</w:t>
      </w:r>
      <w:r>
        <w:rPr>
          <w:b w:val="0"/>
        </w:rPr>
        <w:t xml:space="preserve"> kan. Kan </w:t>
      </w:r>
      <w:r>
        <w:rPr>
          <w:b/>
        </w:rPr>
        <w:t>hon²</w:t>
      </w:r>
      <w:r>
        <w:rPr>
          <w:b w:val="0"/>
        </w:rPr>
        <w:t xml:space="preserve"> icke, får </w:t>
      </w:r>
      <w:r>
        <w:rPr>
          <w:b/>
        </w:rPr>
        <w:t>hennes²</w:t>
      </w:r>
      <w:r>
        <w:rPr>
          <w:b w:val="0"/>
        </w:rPr>
        <w:t xml:space="preserve"> föräldrar träda till. Om </w:t>
      </w:r>
      <w:r>
        <w:rPr>
          <w:b/>
        </w:rPr>
        <w:t>hennes²</w:t>
      </w:r>
      <w:r>
        <w:rPr>
          <w:b w:val="0"/>
        </w:rPr>
        <w:t xml:space="preserve"> föräldrar icke förmå hjälpa </w:t>
      </w:r>
      <w:r>
        <w:rPr>
          <w:b/>
        </w:rPr>
        <w:t>henne²</w:t>
      </w:r>
      <w:r>
        <w:rPr>
          <w:b w:val="0"/>
        </w:rPr>
        <w:t>, så blir det fattigvårdens sak att taga vård om barnet. Det är enligt min uppfattning en brist i 1917 års barnavårdslag, att man saknar medel att hålla sådana fäder till att fullgöra sin plikt, som icke godvilligt vilja taga vård om sina barn. Det kan icke vara mening i att skriva i en lag, att barnens föräldrar skola svara för kostnaden för barnen var och en i mån av sina tillgångar, när man icke kan tilllämpa denna lag.</w:t>
        <w:br/>
        <w:br/>
        <w:t>Utskottet, som haft att behandla motionen, säger bland annat:</w:t>
        <w:br/>
        <w:br/>
        <w:t>»Aven för ett effektivt uttagande av de bestämda underhållsbeloppen synas stadgandena i flertalet fall erbjuda tillräckliga möjligheter. Därest den av föräldrarna — vanligtvis fadern — som har att erlägga underhållsbidrag, icke godvilligt fullgör denna sin skyldighet, kan man 1i regel, även när andra exekutiva åtgärder äro verkningslösa, med användande av införsel i avlöning nå önskat resultat.»</w:t>
        <w:br/>
        <w:br/>
        <w:t>Ja, det kan man, men med det resultat, jag nämnde nyss. Så fortsätter utskottet:</w:t>
        <w:br/>
        <w:br/>
        <w:t>»Också för de fall, då genom den underhållsskyldiges uraktlåtenhet att fullgöra honom åliggande bidragsplikt hans barn kommit i sådan nöd, att fattigvårdssamhälle nödgats lämna detsamma obligatorisk fattigvård, synes det vara väl sörjt för att underhållsskyldigheten skall kunna utkrävas. Med tillhjälp av införsel i avlöningen kan i allmänhet det erforderliga beloppet uttagas, och då barnets nödställda belägenhet har sin grund i den bidragspliktiges lättja eller liknöjdhet, förfogar fattigvårdssamhället, såsom framgår av det ovan sagda, över synnerligen kraftiga medel för att tillhålla den tredskande att fullgöra sin skyldighet.»</w:t>
        <w:br/>
        <w:br/>
        <w:t>Ja, det där är riktigt, men med modifikation. Det förhåller sig nämligen så, att om fattigvården nödgas ingripa, så kan den göra detta på sina ställen t. ex. i större städer med arbetsinrättningar och på landet, där det finnes försörjningsinrättningar, med jordbruk. Om det på landet funnes arbetshem, så skulle man också där kunna hålla efter dessa personer. Men det är att märka, att dessa arbetshem icke bliva färdiga förrän den 1 januari 1929. När sålunda första lagutskottet säger, att de redan nu skulle kunna intagas på fattiggården, så är detta icke fullt riktigt, utan detta kan komma att ske först den 1 januari 1929, men för närvarande är det icke över allt så. Sedan fortsätter utskottet:</w:t>
        <w:br/>
        <w:br/>
        <w:t>»De fall, varom här är fråga, utgöra i förhållande till antalet fall, då underhållsskyldigheten effektivt uttages, ett synnerligen ringa antal. Även om i det enskilda fallet kan synas stötande, att den försumlige lyckas undandraga sig allt ekonomiskt ansvar, hava</w:t>
        <w:br/>
        <w:br/>
        <w:t>«dessa fall dock i stort sett en synnerligen ringa betydelse. Att med hänsyn till dessa fåtaliga tredskande personer, som icke för närvarande kunna träffas med verksamma åtgärder, införa särskilda bestämmelser torde icke vara lämpligt.»</w:t>
        <w:br/>
        <w:br/>
        <w:t>Jag har vänt mig till Stockholms stads barnavårdsnämnd för att få uppgift, huru saken ställer sig här i Stockholm, och jag fick då bekräftat, att förhållandena här äro ungefär desamma som ute i landet. Jag fick det beskedet från barnavårdsinspektören här i Stockholm, att bland 1,569 fastställda faderskap funnos 260 tredskande fäder. Sålunda 16'/, procent av fastställda faderskap kommo på tredskande, och ändå finner första lagutskottet, att detta är ett synnerligen ringa antal. Är det verkligen ett synnerligen ringa antal, när |; av de underhållspliktiga undandrar sig sin skyldighet?</w:t>
        <w:br/>
        <w:br/>
        <w:t>Nu har jag endast begärt, »att riksdagen måtte i skrivelse till Kungl. Maj:t anhålla, att Kungl. Maj:t ville låta utreda och för riksdagen framlägga förslag om sådant tillägg till 1917 års barnlagar, att trygghet kunde vinnas för att även sådana underhållsskyldiga, som söka slingra sig från sin underhållsskyldighet, kunde tvingas att fullgöra denna».</w:t>
        <w:br/>
        <w:br/>
        <w:t>Jag tycker för min del, att detta är en mycket rimlig begäran. Men anser kammaren i likhet med första lagutskottet, att, när 16!/; 2 av de underhållsskyldiga undandraga sig sin skyldighet, man ändock intet bör göra åt saken, så får man naturligtvis låta saken ha sin gång. Äro åter kammarens ledamöter av den meningen, att man bör så vitt möjligt sörja för att så många som möjligt av de underhållspliktiga fullgöra sin skyldighet. Ja, då bör man också enligt min mening bifalla denna motion.</w:t>
        <w:br/>
        <w:br/>
        <w:t>Jag ber således, herr talman, att få yrka bifall till min motion.</w:t>
      </w:r>
    </w:p>
    <w:p>
      <w:pPr>
        <w:pStyle w:val="Heading2"/>
      </w:pPr>
      <w:r>
        <w:t>2. Jakob Pettersson (Liberala riksdagspartiet, man)</w:t>
      </w:r>
    </w:p>
    <w:p>
      <w:r>
        <w:rPr>
          <w:b w:val="0"/>
        </w:rPr>
        <w:t>Herr talman! Motionärens nit för åstadkommande av större effektivitet ifråga om indrivande av bidrag av försörjningspliktiga, är ställt utom allt tvivel, och detta nit är också all heder värt. Helt säkert har motionären under arbetet i sin kommun flera gånger stött på fall, då försörjningspliktiga undandragit sig sina skyldigheter och då det inträffat, att effektiva medel icke stått till buds för att tvinga dem att fullgöra sin plikt. Det är därför icke ägnat att förvåna, att motionären gång på gång kommer med förslag, att lagen skall anvisa bättre hjälpmedel för att hålla efter försörjningspliktiga personer.</w:t>
        <w:br/>
        <w:br/>
        <w:t>Vad motionären brister i, det är att uppvisa eller ens göra sannolikt, att här omhandlade underlåtenhet numera förekommer i ett så stort antal fall, att det verkligen finns fog för att fordra ytterligare lagstiftning på detta område. Motionären säger visserligen, att han hört efter hos Stockholms myndigheter och därvid fått det beskedet, att av 1,569 fastställda faderskap det är icke mindre än 260, d. v. s. 16 7/. 4, av fallen, i vilka tredska att betala förekommer. Av motionärens upplysning framgick dock icke huruvida det lyckats att hos en större eller mindre del av dessa 167/, 4 indriva bi- &lt;Arag trots tredskan. Att det finnes tredskande försörjningspliktiga,</w:t>
        <w:br/>
        <w:br/>
        <w:t>är allmänt känt, men det är icke konstaterat, att det i allmänhet är Rd att av dessa tredskande indriva vad de ha att erlägga i idrag.</w:t>
        <w:br/>
        <w:br/>
        <w:t>Vid första lagutskottets behandling av detta ärende var en av de närvarande ledamöterna i egenskap av fattigvårdskonsulent i tillfälle att upplysa, att så långt hans erfarenhet sträckte sig — och jag vill minnas, att han talade också om sina kamraters — så var en betydlig förbättring att konstatera på detta område, och om man jämförde de fall, då underhållsbidrag godvilligt betalas och där de betalas först efter lagliga åtgärder, så vore situationen betydligt gynnsammare nu än förut. Det förefaller mig att denna upplysning, om den. ställes emot motionärens, stöder riktigheten av utskottets påstående.</w:t>
        <w:br/>
        <w:br/>
        <w:t>För övrigt tyckes det mig, att motionären erkände, att fattigvårdsstyrelsen, när den har tillgång på fattiggård eller arbetshem, verkligen förfogar över synnerligen kraftiga och effektiva medel i detta avseende. Jag vill därför fråga motionären, om hans mening är att genom lag tvinga fattigvårdsstyrelse att tidigare, än vad nu är föreslaget, inrätta arbetshem eller fattiggård. När det i alla fali är erkänt, att lagen med de nuvarande anordningarna dock lämnar åtminstone fattigvårdsstyrelse rätt så effektiva medel i händerna för sådana här ändamål, så förstår jag för min del icke, att man nu har anledning att begära särskild lagstiftning för att ytterligare påskynda denna sak. Nej, därom tror jag att motionären och jag kunna vara ense, att nog hava fattigvårdsmyndigheterna för närvarande rätt så kraftiga medel att tillgripa för uttagande av bidrag hos försumliga försörjningspliktiga. Däremot erkänner jag, att den enskilda förmyndaren eller barnavårdsmannen för barn utom äktenskapet icke har lika kraftiga medel till sitt förfogande. En barnavårdsman kar sålunda icke få den försörjningspliktige eller försumlige fadern intagen på tvångsarbete, för att han försummar fullgörande av sin underhållsplikt. I detta avseende har motionären i motionen uttalat, att han skulle gärna se, att förmyndare kunde få en försumlig underhållsskyldig ådömd tvångsarbete. Men från dessa motionärens planer ber jac att bestämt få taga avstånd. Ty motionärens planer gå helt enkelt ut på att återinföra bysättning, d. v. s. möjligheten för en enskilda. person att, då han icke kan få ut sin fordran av någon, få denne insatt i fängelse. Motionären kan visserligen till sitt försvar anföra, att bysättning är ett rättsinstitut, som både hos oss och andra civiliserade stater tillämpats under flera hundra år. Och det lider intet tvivel, att det ofta visat sig vara ett ganska effektivt medel, då det gällt att kräva ut fordringar. Men på samma gång bör man komma ihåg, att bysättning vid tillämpningen emellanåt ledde till ganska upprörande hårdhet; jag vill härutinnan hänvisa motionären till Charles Dickens romaner, där han skall finna, vilka ohyggligheter som bysättning kunde giva anledning till. Bysättningen blev också på 1860- och 1870-talen avskaffad, så vitt jag vet i alla civiliserade stater, och jag vågar hålla före, att den allmänna rättsuppfattningen i vårt land är alldeles bestämt emot en så drakonisk åtgärd som motionären här ifrågasatt.</w:t>
        <w:br/>
        <w:br/>
        <w:t>Oaktat jag sålunda erkänner det goda syftet med motionen och sympatiserar med motionären i hans nit för den föreliggande frågan, tror jag icke, att han kan begära att vi nu skola skrida till att fordra ytterligare tvångsåtgärder mot försumliga försörjningspliktiga. Jag tror att vi lugnt kunna vänta, tills alla kommuner fått sina arbetshem i ordning och fattigvårdsstyrelserna därigenom också fått ännu bättre medel att hålla efter försumliga personer. Och när en försumlig förgsörjare gör sig skyldig till tredska endast gentemot barnet, så få vi begagna oss av den utväg, som lagen anvisar, nämligen att begära fattigvårdens mellankomst, varigenom också inträder möjlighet att tillämpa rätt så starka tvångsmedel.</w:t>
        <w:br/>
        <w:br/>
        <w:t>Herr talman, jag ber att få yrka bifall till utskottets hemställan.</w:t>
      </w:r>
    </w:p>
    <w:p>
      <w:pPr>
        <w:pStyle w:val="Heading2"/>
      </w:pPr>
      <w:r>
        <w:t>3. Anders Paulsen (Socialdemokraterna, man)</w:t>
      </w:r>
    </w:p>
    <w:p>
      <w:r>
        <w:rPr>
          <w:b w:val="0"/>
        </w:rPr>
        <w:t xml:space="preserve">Herr talman! Jag vill endast säga första lagutskottets ärade ordförande, att jag aldrig förordat återinförande av bysättning. Men jag har sagt i motionen, att jag för min del anser det icke orimligt, att dessa försumliga försörjare bli ådömda tvångsarbete. Och jag kan ännu icke inse, vad det är för orimligt i detta, att barnavårdsmannen, när han icke får ut bidraget, får vända sig till Konungens befallningshavande för att efter prövning få vederbörande dömd till tvångsarbete, lika väl som att anmälan från fattigvårdsstyrelsen leder till samma resultat. Jag kan icke förstå, varför det skall vara konstigare att medgiva en sådan anmälan från barnavårdsman än från fattigvårdsstyrelse. Det borde väl ställa sig precis på samma sätt, tycker jag. Att fattigvårdsstyrelsen har effektiva medel till sitt förfogande, är ju sant, och det har jag icke heller bestritt. Men om dessa, som icke åtnjuta fattigvård och som faktiskt icke behöva fattigvård, skola bli föremål för fattigvårdsstyrelsens hjälp, när det gäller att hålla efter en försumlig försörjare, då måste fattigvårdsstyrelsen medvetet skriva falskt protokoll, där den säger, att den och den </w:t>
      </w:r>
      <w:r>
        <w:rPr>
          <w:b/>
        </w:rPr>
        <w:t>kvinnan¹</w:t>
      </w:r>
      <w:r>
        <w:rPr>
          <w:b w:val="0"/>
        </w:rPr>
        <w:t xml:space="preserve"> och det och det barnet lider sådan nöd, att fattigvården måste gripa in. Den vägen går det, men det är osmakligt i allra högsta grad, att man skall behöva gå sådana omvägar. Lagen borde vara sådan, att den kunde tillämpas i alla fall eller i så många fall som möjligt.</w:t>
        <w:br/>
        <w:br/>
        <w:t>Jag vidhåller mitt yrkande.</w:t>
      </w:r>
    </w:p>
    <w:p>
      <w:pPr>
        <w:pStyle w:val="Heading2"/>
      </w:pPr>
      <w:r>
        <w:t>4. Axel Lindqvist (Socialdemokraterna, man)</w:t>
      </w:r>
    </w:p>
    <w:p>
      <w:r>
        <w:rPr>
          <w:b w:val="0"/>
        </w:rPr>
        <w:t>Herr talman! Herr Paulsen gör sig nog skyldig till betydliga överdrifter, när han uppträder i den här frågan. I debatten den 13 april 1921 yttrade herr Paulsen: »Herrarna skola komma ihåg, att det icke är hälften av fäderna till utom äktenskapet födda barn, som draga försorg om sina barn, utan de slingra sig ifrån denna skyldighet.» I dag säger herr Paulsen, att det är ungefär en sjättedel, som undandrar sig sin försörjningsskyldighet. Jag måste säga, att när man får höra sådana olika uppgifter av en motionär, talar det icke mycket för att man bör gå med på hans förslag, även om det har en helt annan innebörd än vad i detta fall är fråga om, och jag kan icke tro annat än att herr Paulsen själv icke förstått innebörden av sitt förslag.</w:t>
        <w:br/>
        <w:br/>
        <w:t xml:space="preserve">Visserligen har han icke nämnt ordet bysättning, som utskottets ordförande talade om, men i sin motivering har han icke givit anvisning på någonting annat än att vi måste ha något slags tvångsarbete eller vad man vill kalla det för sådana individer, som det här gäller. Men vi böra väl ändå akta oss för att driva alltför många till tvångsarbete. Ty vart skulle det leda hän? Om det är riktigt, som herr Paulsen sade 1921, att hälften slingrade sig undan, skulle det innehära. att man finge döma till tvångsarbete ungefär 9,000 personer årligen, enär utom äktenskapet födda barn för varje år uppgår till ett antal av 18,000. Jag förstår inte, hur herr Paulsen vill ordna saken. Vi bruka ju i dessa dagar tala om de ekonomiska svårigheter, som äro rådande. Om herr Paulsen får sin vilja fram, räcker det inte med Svartsjö och inte heller med Landskronafängelset, där det nu finns en del </w:t>
      </w:r>
      <w:r>
        <w:rPr>
          <w:b/>
        </w:rPr>
        <w:t>kvinnor¹</w:t>
      </w:r>
      <w:r>
        <w:rPr>
          <w:b w:val="0"/>
        </w:rPr>
        <w:t>, utan man får väl bygga nya anstalter för ändamålet.</w:t>
        <w:br/>
        <w:br/>
        <w:t>Såvitt jag kan se, är herr Paulsen väl litet underrättad om de verkliga förhållandena. Var man eljest hör efter, säges det, att den lagstiftning det här gäller visat sig ganska effektiv. Jag ber få hänvisa till en motion, som vi tidigare i dag behandlat, nämligen herr Bodéns. Häri säges det, att man med 1917 års lag åtminstone 1 de flesta fall kunnat tvinga tredskande barnafäder att göra sin plikt. Och jag vill erinra om, att när vi 1921 behandlade ärendet, gjordes en förfrågan till fattigvårdsförbundets barnavårdsutskott, vilket torde ganska väl känna till och följa förhållandena på området. Utskottet förklarade, att det visserligen kunde förekomma ännu i ett eller annat fall, att vederbörande försökte komma undan, och där sålunda lagen icke visat sig fullt effektiv, men man hoppades och trodde, att allt eftersom lagen hunne bli tillimpad ute i livet, skulle den befinnas vara mer och mer effektiv. Man ställde sig vid det tillfället mycket tveksam inför det förslag, som då förelåg om ändringar i 1917 års lag. Om vi gjort en hänvändelse till barnavårdsutskottet i år, håller jag icke för otroligt, att vi skulle fått samma upplysningar, att lagen visat sig effektiv. När så är, kan jag icke finna annat än att det är felaktigt att nu ge sig till att peta på lagen. Under inga förhållanden är det möjligt att gå med på sådana förslag, som herr Paulsen här framställt, varför jag ber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1588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