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463</w:t>
      </w:r>
    </w:p>
    <w:p>
      <w:r>
        <w:rPr>
          <w:b/>
        </w:rPr>
        <w:t xml:space="preserve">Datum: </w:t>
      </w:r>
      <w:r>
        <w:t>1924-01-17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Jacob Beskow (Lantmanna- och borgarepartiet inom andrakammaren, man)</w:t>
      </w:r>
    </w:p>
    <w:p>
      <w:r>
        <w:rPr>
          <w:b w:val="0"/>
        </w:rPr>
        <w:t>Herr greve och talman, mina herrar! Här har tidigare under dagen riktats vissa anmärkningar mot det statsregleringsförslag, som nu ligger på kammarens bord, gående ut på att det skulle vara alltför försiktigt hållet. Det är ju en anmärkning, som en finansminister kan taga med betydligt större lugn än den, att budgetförslaget är svagt. Principiellt är jag dock av den uppfattningen, att det i allmänhet är en fara att göra allmänna kassor alltför starka, på den grund att detta lätt föranleder till vidtagandet av onödiga utgifter. Då jag vidare i detta speciella fall måste finna det mycket betänkligt, om den uppfattningen skulle komma att göra sig gällande, att budgeten är alltför stark, har jag funnit det lämpligt att söka motarbeta en legendbildning i den riktningen och har därför ansett mig böra begära ordet för att söka bevisa, att anmärkningen är oriktig.</w:t>
        <w:br/>
        <w:br/>
        <w:t>De förutsättningar, under vilka finansplanen är uppgjord, angivas ju i handlingarna, och jag har ingen anledning att något närmare i detalj gå in därpå, men jag vill dock understryka de viktigaste synpunkterna. Något som för mig har varit av stor betydelse, när det gällt uppgörandet av finansplanen, har varit den omständigheten, att vår handelsbalans för närvarande är passiv i så hög grad, som verkligen är fallet. Det är 230 miljoner kronors brist i handelsbalansen, jämfört med 20 miljoners brist för år 1922. Det är ju en</w:t>
        <w:br/>
        <w:br/>
        <w:t>ganska betänklig siffra. Det är ju visserligen sant, att handelsbalansen icke är detsamma som betalningsbalansen. På den senare inverka ju intjänta frakter av svenska rederier med högst betydande belopp. Vidare inverka exempelvis gåvor från svenskamerikaner, räntor, som utbetalas från landet eller inbetalas från utlandet och en hel del andra faktorer. Betalningsbalansen för år 1922 torde ha varit aktiv; i finansdepartementet verkställda beräkningar ha givit det resultatet, att den för år 1922 i själva verket skulle ha varit aktiv med cirka 85 miljoner kronor. Jag vill betona, att dessa beräkningar äro utomordentligt approximativa. De äro synnerligen svåra att utföra, och man rör sig i stor utsträckning på gissningarnas område, men siffran torde dock ge ett uttryck för hur vår betalningsbalans gentemot utlandet ställde sig under 1922. Går man ut från denna siffra och räknar med att handelsbalansen är mer än 200 miljoner kronor sämre för år 1923, så kan man ju inte neka till att situationen är i viss mån allvarlig. Visserligen har ju vår industri begagnat tillfället att under en något bättre konjunktur fylla sina lager av råvaror och halvfabrikat, men i stor utsträckning beror bristen i handelsbalansen på en betydande import av konsumtionsvaror. Jag vill då särskilt erinra om den stora importen av spannmål och mjöl. I bensinimporten har ägt rum en ökning från, som jag vill minnas, omkring 57 miljoner kg. — siffran är mycket approximativ — till 86 miljoner kg.; det är en post, som man inte kan se med alltför stor tillfredsställelse, då den i viss mån tjänar lyxändamål och således delvis utgör en onödig förbrukning. Likaså har det skett en betydande ökning av vår automobilimport; densamma var omkring 7,000 bilar år 1922 men över 11,000 år 1923. Bara på ökningen av den posten har vår handelsbalans fått en knäck på cirka 10 miljoner kronor, vill jag minnas. Riksbankens förråd av utländska valutor har under året sjunkit med ungefär 100 miljoner kronor.</w:t>
        <w:br/>
        <w:br/>
        <w:t>Det är tydligt, att här föreligger en bristande överensstämmelse mellan konsumtion och produktion. Jag vill icke säga, att detta i och för sig behöver vara någon så stor olycka. Förr eller senare måste ju förhållandet rätta till sig, och jag är ganska övertygad om att vi skola komma ur dessa svårigheter, men eftersom jag med hänsyn till de fallande valutorna i andra europeiska länder, där vi ha marknaden för våra varor, knappast tror, att vår export skall kunna avsevärt stegras, så följer, att en minskning i importen — en minskning i konsumtiohen — måste komma till stånd. Detta betyder ju, att sådana inkomsttitlar, som äro beroende av importen, särskilt då tullarna, och av konsumtionen, kunna komma att rätt kraftigt minskas.</w:t>
        <w:br/>
        <w:br/>
        <w:t>En annan i finansplanen framhållen omständighet, som man måste taga hänsyn till vid uppgörandet av statsregleringen, är ställningen i statsverkets kassafond och utfallet av de senaste statsregleringarna. I detta avseende är ju ställningen ingalunda lysande utan snarare tvärt om. Vår kassafond, som vid 1920 års slut var uppe i ett belopp av 490 miljoner kronor, har nu, det vill säga den 1 juli 1923, sjunkit till 21 miljoner kronor. Bristen på 1921 års stat var 47 miljoner, på 1922 års stat 46 miljoner och på halvårsbudgeten 1 januari— 30 juni 1923 8 miljoner kronor. Ser man efter, hur dessa brister uppkommit, fäster man sig vid att de helt och hållet ligga på utgiftssidan, i det 1921 underskottet på utgiftssidan var 108 miljoner, år 1922 59 miljoner och i halvårsbudgeten 1923 25 miljoner kronor. Dess bättre ha ju på inkomstsidan icke oväsentliga överskott uppstått, för 1921 på 61 miljoner, för 1922 på 13 miljoner och för första halvåret 1923 på 17 miljoner kronor. Men jag vill tilllåta mig göra den frågan: hur skulle det ha gått, om inkomstsidan icke lämnat dessa överskott? Då hade vi helt enkelt icke haft någon kassafond utan tvärt om; vi hade måst låna för de löpande utgifterna. Där ser man betydelsen av att icke räkna inkomstsidan för knappt. Överhuvud taget tror jag, att vi numera kommit därhän, att vi räkna inkomsterna litet väl teoretiskt. Vi ha</w:t>
        <w:br/>
        <w:br/>
        <w:t>kommit till litet för eleganta metoder för att kalkylera fram dem. Men om Statsverksman nu också begagnar sig av dessa metoder för att få fram teoretiskt vackra propositionen. resultat, så gäller det att använda dessa med förstånd. FBorte)</w:t>
        <w:br/>
        <w:br/>
        <w:t>Jag skall nu tillåta mig en liten jämförelse mellan riksräkenskapsverkets beräkningar och finansdepartementets inkomstberäkningar, vilket är så mycket mera påkallat, som vissa poster torde erfordra en förklaring, vilken måhända kan övertyga kammaren att det i själva verket icke är så stora differenser som här gjorts gällande. Jag har hört talas om differenser på 46 miljoner kronor, 20 miljoner ete. Men sådana skillnader är det i själva verket icke, i fall man går igenom posterna, den ena efter den andra. Jag skall här endast taga hänsyn till de allra viktigaste.</w:t>
        <w:br/>
        <w:br/>
        <w:t>Inkomstoch förmögenhetsskatten har av riksräkenskapsverket beräknats till 144 miljoner kronor. Finansdepartementet har upptagit 135 miljoner kronor. Att i detalj ingå på huru dessa beräkningar äro gjorda, därtill saknas ju all anledning, så mycket mer som kammaren i fråga om denna post får fullt besked, innan riksstaten fastställes. Det är all anledning att hoppas, att i år liksom föregående år resultatet av taxeringarna skall föreligga i maj månad.</w:t>
        <w:br/>
        <w:br/>
        <w:t>Nästa post, där någon avsevärd differens förekommer, är stämpelmedel, där riksräkenskapsverket räknar med 44 miljoner, medan posten här är upptagen med 42 miljoner kronor, men, mina herrar, utfallet av stämpelmedel år 1923 var 41 miljoner, alltså mindre än vad som här har upptagits. Det finnes få titlar, som variera så mycket och äro så pass svårberäkneliga, och det finns, såvitt jag kan förstå, ingen anledning att taga upp en så svårbedömlig titel 1 överkant.</w:t>
        <w:br/>
        <w:br/>
        <w:t>Tullmedel ha av riksräkenskapsverket beräknats till 135 miljoner kronor och ha här upptagits till 120 miljoner. Se vi emellertid efter, huru tullmedlen ha influtit under tidigare år enligt den tablå, som återfinnes i riksräkenskapsverkets uppställning, så finna vi, att de år 1919 inflöto med 1 runt tal 100 miljoner kronor för att 1920 springa upp till 144,6 miljoner — alltså ett mycket kraftigt språng — och sedan år 1921, då depressionen kom, gå ned till 102 miljoner kronor. År 1922 belöpte de sig icke till högre belopp än 108 mil- Joner och första halvåret 1923 62 miljoner kronor. Även om man nu tager hänsyn till att vissa finanstullar och höjd kaffetull kommit till under senare år, är det min bestämda övertygelse, att man, om man skall tillämpa de principer, som jag angivit för fastställandet av inkomsterna i budgeten, icke bör anses räkna alltför försiktigt, om man sätter beloppet till 120 miljoner kronor, detta till trots av att tullmedel 1923 influtit med 144 miljoner kronor.</w:t>
        <w:br/>
        <w:br/>
        <w:t>Tobaksskatten har av tobaksmonopolet beräknats till 30 miljoner kronor, vilket riksräkenskapsverket höjt till 33 miljoner kronor. Jag vill icke trötta kammaren med att läsa upp motiveringen och lika litet redogöra för den motivering, på grund varav jag anser, att man i stället bör följa tobaksmonopolet, efter vars beräkning denna titel här satts in med 30 miljoner kronor.</w:t>
        <w:br/>
        <w:br/>
        <w:t>Rusdrycksförsäljningsmedel, som ju är en post, som i år icke direkt inverkar på själva budgeten, har riksräkenskapsverket beräknat till 18 miljoner kronor, beroende på att riksräkenskapsverket från kontrollstyrelsen erhållit en promemoria, enligt vilken man väntade detta belopp från systembolagen. Men kontrollstyrelsen har senare till mig inkommit med en skrivelse, där styrelsen säger, att denna titel med hänsyn till sedermera företagna granskningar och på grund av siffror, som senare blivit tillgängliga, icke kan upptagas med mer än 15 miljoner kronor. Det är den siffra, till vilken den här också upptagits.</w:t>
        <w:br/>
        <w:br/>
        <w:t>Omsättningsskatten har tidigare år varit upptagen till 43 miljoner kronor. Kontrollstyrelsen föreslår samma belopp, och riksräkenskapsverket höjer det till 44 miljoner. Med hänsyn till de sjunkande priserna på de varor, som det här är fråga om att beskatta, har jag ansett, att man icke bör sätta beloppet</w:t>
        <w:br/>
        <w:br/>
        <w:t>högre än 42 miljoner, och jag är övertygad om att det häri icke ligger någon. överdrift.</w:t>
        <w:br/>
        <w:br/>
        <w:t>En skenbar differens har man beträffande uppbörd i statens verksamhet. Där räknar riksräkenskapsverket med 25 miljoner, under det att finansdepartementet satt beloppet till 9 miljoner kronor — jag räknar hela tiden med starkt avrundade tal. Skillnaden beror därpå, att riksräkenskapsverket föreslagit, att hospitalspatientsavgifter och inflytande pensionsavgifter — vardera posten uppgående till 7 miljoner kronor, således tillsammans 14 miljoner — skola uppföras såväl på utgiftssidan som på inkomstsidan. För min del har jag icke ansett det lämpligt, att företaga en ändring i nu bestående förhållanden, på den grund att man ju gärna vill ha den ena budgeten så pass jämförlig med den andra som möjligt, detta ehuru jag erkänner, att budgetstekniska skäl och i varje fall de synpunkter, som lågo till grund för budgetreformen, möjligen skulle kunna motivera en övergång till riksräkenskapsverkets förslag. Men i varje fall är denna skillnad mellan 25 miljoner och 9 miljoner rent fiktiv.</w:t>
        <w:br/>
        <w:br/>
        <w:t>Postverket har riksräkenskapsverket beräknat till 17,2 miljoner. Posten hade tidigare upptagits med 15 miljoner, och jag har tillåtit mig att sätta detta belopp. Generalpoststyrelsen har senare inkommit med en skrivelse, där styrelsen angiver, att den icke kan komma till högre belopp än 15 miljoner, trots att riksräkenskapsverket vill sätta det till 17,2 miljoner.</w:t>
        <w:br/>
        <w:br/>
        <w:t>Telegrafverket beräknas giva 17 miljoner, under det att riksräkenskapsverket beräknat 24 miljoner kronor. Men riksräkenskapsverket har givetvis icke haft kännedom om regeringens avsikt att nedsätta telefonavgifterna, vilket utgör förklaringen till denna skillnad.</w:t>
        <w:br/>
        <w:br/>
        <w:t>På inkomsten från statens järnvägar är det i själva verket en skillnad av 2,7 miljoner kronor, som svara mot dyrtidstilläggen. Jag har ansett, att när det gäller en så pass osäker inkomstpost som från statens järnvägar, kan visserligen riksräkenskapsverket — och det torde vara dess skyldighet — taga upp beloppet till det teoretiskt beräknade, men i ett statsregleringsförslag torde skäl till större försiktighet föreligga.</w:t>
        <w:br/>
        <w:br/>
        <w:t>Ser man nu på dessa poster, så äro ju på flera punkter, som jag redogjort för, i själva verket alla differenser bortförklarade. På några punkter finns det ännu kvar differenser på en å två miljoner kronor, men de verkligt betydande differenserna förekomma endast på två punkter, nämligen i fråga om inkomstoch förmögenhetsskatten, där differensen är 9 miljoner kronor, och i fråga om tullmedlen, där den är 15 miljoner kronor. Vad inkomstoch förmögenhetsskatten beträffar har jag redan berört det förhållandet, att vi alltid i sinom tid få veta, hur det kommer att förhålla sig med utfallet av taxeringarna. I fråga om tullmedlen är jag övertygad om att det, i fall man vill åstadkomma en hållbar budget, är riktigare att upptaga denna med 120 än med 135 miljoner.</w:t>
        <w:br/>
        <w:br/>
        <w:t>Under debatten i förmiddags har man påtalat det förhållandet, att regeringen föreslår en nedsättning av dyrtidstilläggen. Propositionen i denna sak har avlämnats först i dag, och det är ju möjligt, att omdömena om detta förslag hade blivit mera välvilliga, ifall kammaren hade haft tillfälle att studera densamma.</w:t>
        <w:br/>
        <w:br/>
        <w:t>Jag vill här först framhålla att det icke är alldeles säkert, att det verkligen betyder någon nedsättning av dyrtidstilläggen, ifall den proposition, Kungl. Maj:t avgivit, blir bifallen. Förhållandet är nämligen, att därest levnadskostnadsindex någon gång under budgetåret 1924—1925 skulle gå ned till 166 — teoretiskt är detta ju i alla fall en möjlighet; det är dock en siffra, som ligger 6 enheter högre än vårt nuvarande varuprisindex — blir det ingen reduktion i statstjänstemännens dyrtidstillägg. Men även om man gör det antagandet, att prisnivån håller sig mera konstant, vilket man ju utgått ifrån</w:t>
        <w:br/>
        <w:br/>
        <w:t xml:space="preserve">vid budgetsförslagets uppgörande, är sänkningen icke avsevärd. Jag ville framhålla detta, trots att jag mycket väl förstår, att varje sänkning i lönemkomsterna är kännbar för statens tjänstemän liksom för oss alla. Av den tabell, som är bifogad propositionen, framgår, att reduktionen för en byråchef — detsamma gäller en generaldirektör i ett nyreglerat verk — under de förutsättningar jag nu angivit skulle uppgå till 288 kronor om året och för en stationskarl till 76 kronor om året på dyraste ort. För ett </w:t>
      </w:r>
      <w:r>
        <w:rPr>
          <w:b/>
        </w:rPr>
        <w:t>kvinnligt¹</w:t>
      </w:r>
      <w:r>
        <w:rPr>
          <w:b w:val="0"/>
        </w:rPr>
        <w:t xml:space="preserve"> kontorshträde bleve reduktionen 64 kronor om året. Som herrarna härav finna, rör det sie icke om några allt för stora belopp. De äro ju i varje fall icke på långt när jämförliga med de reduktioner i dyrtidstilläggen, som gjordes föregående är.</w:t>
        <w:br/>
        <w:br/>
        <w:t>Enligt samma tablå visar det sig också, att stora grupper av statstjänstemän fortfarande äro överkompenserade. För exempelvis en stationskarl utgå lön och dyrtidstillägg nu med ett belopp, som är 216 Z av den lön, han uppbar under 1914, detta på dyraste ort. Jag vill ju icke på något sätt ge mig in i den frågan, huruvida lönen 1914 kan anses hava varit skälig för honom, men vill i alla fall ha konstaterat, att eftersom levnadskostnadsindex är 177, så kan man inte komma ifrån, att han bör befinna sig i ett bättre läge nu än 1914. Han har fått en löneförbättring. Detsamma gäller ju givetvis inte alls de högre tjänstemännen, utan där ställa sig förhållandena tvärtom, beklagligtvis.</w:t>
        <w:br/>
        <w:br/>
        <w:t>De nedskärningar, som gjorts av dyrtidstilläggen ända sedan 1921 — det vill säga första gången 1921, andra gången 1923 och nu eventuellt tredje gången 1924 — tycker man skulle ha fört ner statstjänstemännen på en mycket låg lönestandard, jämfört med den de hade 1920. Men i själva verket är det icke så farligt på den punkten. Den omständigheten, att kronan har vuxit i värde. har i mycket stor utsträckning kompenserat nedsättningarna. Den kompenserar det så pass mycket, att exempelvis en byråchef vid ett reglerat verk, om man tar hänsyn till vad han vid skilda tillfällen kunnat resp. kan köpa för en krona, trots nedsättningarna befinner sig i ett bättre läge, även om Kungl. Maj:ts förslag går igenom, än han gjörde med tillämpande av 1920 års obeskurna dyrtidstillägg. Förhållandet ställer sig icke fullt så fördelakigt för de lägre tjänstemännen. Hur saken där ligger skulle det föra för långt att redogöra för. Jag har annars siffrorna tillgängliga.</w:t>
        <w:br/>
        <w:br/>
        <w:t>Det har från korporationer, som vänt sig till mig, begärts att man skulle föranstalta något slags allmän utredning huru statens tjänstemannalöner inklusive dyrtidstillägg förhålla sig till vad enskilda tjänstemän uppbära. Jag har emellertid ansett, att en sådan undersökning är så svår att göra och att det är så svårt att finna de grupper, med vilka man skulle jämföra statstjänstemännen, att jag inte velat ge mig in därpå. Men jag har det allmänna intrycket, att statens tjänstemän icke äro sämre ställda än de enskilda, och ett stöd därför söker jag i den omständigheten, att en så stor grupp som de vid statens järnvägar anställda faktiskt äro åtskilligt bättre ställda än befattningshavarna vid de enskilda järnvägarna. Inom statstjänsten stå statens järnvägars löner i viss relation till övriga löner i statsverket, och i det privata näringslivet står de enskilda järnvägarnas lönestandard naturligtvis i visst sammanhang med lönestandarden i allmänhet. Detta är alltså en punkt, där en jämförelse är av särskilt intresse. Det förhåller sig så, att för lokomotivförare, stationskarlar och personer i den ställningen lön plus dyrtidstillägg fortfarande utgå med belopp som äro 2-, 3- och 400 kronor högre än vad som betalas vid de enskilda järnvägar, som tillämpa de högsta lönerna.</w:t>
        <w:br/>
        <w:br/>
        <w:t>Men det är alldeles klart, att man icke i onödan företager någon nedsättning av statens dyrtidstillägg, och jag vill erinra om, att jag personligen en gång i denna kammare har talat för högre dyrtidstillägg, nämligen då propositionen 1921 lades fram från regeringen och då riksdagens beslut slutligen gick längre i nedskärning än det förslag, för vilket jag hade den äran att här tala. Från</w:t>
        <w:br/>
        <w:br/>
        <w:t>min sida ha nedsättningarna endast kommit till på den grund, att jag ansett det vara nödvändigt att företa en reduktion av dessa utgifter lika väl som av andra utgifter. Jag vill icke därmed ha gått med på, att det påståendet är riktigt, att statens tjänstemannalöner användas som en regulator i budgeten. Samma påstående kan ju lika väl anföras i fråga om vilken annan post som helst, som blivit nedsatt. Jag har ansett mig böra göra nedsättningen för at! få en budget, som är hållbar med hänsyn till de ekonomiska förhållandena i allmänhet här i landet och i världen i övrigt och med hänsyn alldeles särskilt till vårt nuvarande statsfinansiella läge.</w:t>
        <w:br/>
        <w:br/>
        <w:t>Medan jag har ordet skall jag begagna tillfället att med ett par ord syssla med den fråga, som herr Westman nyss riktade till mig, berörande en synnerligen viktig och allvarlig angelägenhet. Den gällde nämligen min ståndpunkt till valutafrågan. Det är nog icke så, att jag inför andra kammaren har förklarat, att jag kommer att hålla kronan vid guldparitet, ty det är ju riksbanken, som efter riksdagens direktiv bestämmer över vår kronas ställning. Men jag har förklarat, att jag har gjort upp budgeten under den förutsättningen, att vi skola kunna hålla vår krona uppe. Min ståndpunkt i denna fråga torde för övrigt framgå av mitt uttalande till statsrådsprotokollet, då riksbanken senast i oktober månad gick in och begärde fortsatt befrielse från skyldigheten att inlösa sina sedlar med guld, och den torde också framgå av det, som i finansplanen är anfört. Jag kan förstå de farhågor, som herr Westman hyser, om man verkligen tror, att den amerikanska dollarn skall få ett så högt värde, att ett följande av densamma skulle åstadkomma en avsevärd deflation här i landet. Men såvitt jag kan se äro de farhågorna ogrundade. I varje fall är det ingenting, som vi för närvarande ha anledning att räkna med. Under det gångna året har Amerikas partiprisnivå endast ändrat sig från 156 enheter i januari till 152 i november — det är den sista kända siffran — och då hade den en gång varit nere i 150, det vill säga den hade fallit från januari till augusti men sedan börjat stiga igen. Här i landet har varuprisindex icke varierat mer än från 163 i januari till 160 i november. Då får man väl i alla fall säga, att vi haft en stabilisering av prisnivån, och jag ser ingenting, som för närvarande tyder på, att denna stabilisering skall upphöra och någon kraftigare vare sig inflation eller deflation skall uppstå. För min del skulle jag icke vilja tillråda det programmet att göra små avvikelser från dollarpariteten, utan jag tror att det är riktigt att söka följa den så noga som möjligt, så att folk får klart för sig, vad vår bestämda avsikt verkligen är, varigenom också farliga valutaspekulationer förhindras. Jag tror, att den penningpolitik, som Sverige fört under det gångna året, varit riktig, och jag tror att det är en fara att avlägsna sig från den politiken. Om en ändring möjligen skulle innebära en tillfällig fördel för näringslivet, så skulle denna rätt snart försvinna och efter all sannolikhet skulle ändringen i längden vara för både landet och näringslivet i hög grad skadlig.</w:t>
      </w:r>
    </w:p>
    <w:p>
      <w:pPr>
        <w:pStyle w:val="Heading2"/>
      </w:pPr>
      <w:r>
        <w:t>2. Gösta Malm (–, man)</w:t>
      </w:r>
    </w:p>
    <w:p>
      <w:r>
        <w:rPr>
          <w:b w:val="0"/>
        </w:rPr>
        <w:t>Herr greve och talman, mina herrar! Jag är synnerligen tveksam om lämpligheten att fortsätta behandlingen av frågan om polissändningen till Sundsvall inför riksdagen. Men då till kammaren framförts vissa aktuella upplysningar, anser jag, att de uppgifter, som jag alldeles nyss har inhämtat, också böra komma till kammarens kännedom. Jag telefonerade för ett par timmar sedan till borgmästaren i staden, som då meddelade, att allt var lugnt och hade varit lugnt hela eftermiddagen samt att det icke förekommit några vad man kan kalla kravaller och likaledes att stockholmspoliser uppträtt mycket lugnt och behärskat. Mellan kl. 1 och 2 hade det av någon anledning uppstått en folksamling, men den hade skingrats utan några våldsamheter och utan att någon skadats. I medkammaren har talats om sårade</w:t>
        <w:br/>
        <w:br/>
      </w:r>
      <w:r>
        <w:rPr>
          <w:b/>
        </w:rPr>
        <w:t>kvinnor¹</w:t>
      </w:r>
      <w:r>
        <w:rPr>
          <w:b w:val="0"/>
        </w:rPr>
        <w:t xml:space="preserve"> och barn, men detta har inskränkt sig till, att en </w:t>
      </w:r>
      <w:r>
        <w:rPr>
          <w:b/>
        </w:rPr>
        <w:t>kvinna¹</w:t>
      </w:r>
      <w:r>
        <w:rPr>
          <w:b w:val="0"/>
        </w:rPr>
        <w:t>, som jag tror icke ens varit med om demonstrationen, hade svnnmat. Då det sålunda 1 de upplysningar, som ha limnats dels genom tidningarna och dels i medkammaren, förekommit en hel del överdrifter, så torde det vara skäl i att vänta med att bilda sig ett omdöme i frågan, tills mera detaljerade uppgifter inkommit.</w:t>
        <w:br/>
        <w:br/>
        <w:t>Beträffande motivet för utsändandet av polisen har jag redan tidigare 1 denna kammare i dag yttrat mig därom och det framgår ju tydligt av det telegram, i vilket utsändandet begärdes. Där stod nämligen, att till följd av den mycket utsträckta tjänstgöring, som under dessa förhållanden (som äro refererade i telegrammet) ålagts stadens poliskår, mäktar den icke ensam upprätthålla nödig polistjänst. Vad som synes mig nödvändigt är att man i ett fall som detta bestämt skiljer mellan upprätthållande av ordning och konflikten själv. Och att det är nödvändigt att upprätthålla ordningen, det vill säga tillhandahålla tillräcklig polismakt, när det gäller en konflikt, då viktiga funktioner i samhället stå på spel, är för mig tydligt.</w:t>
        <w:br/>
        <w:br/>
        <w:t>Beträffande konflikten själv och dess lösning skall jag givetvis ägna allt intresse åt den, då fullständiga meddelanden om densamma inkommit.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