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1615</w:t>
      </w:r>
    </w:p>
    <w:p>
      <w:r>
        <w:rPr>
          <w:b/>
        </w:rPr>
        <w:t xml:space="preserve">Datum: </w:t>
      </w:r>
      <w:r>
        <w:t>1924-02-22</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Ola Hansson Walden (Socialdemokraterna, man)</w:t>
      </w:r>
    </w:p>
    <w:p>
      <w:r>
        <w:rPr>
          <w:b w:val="0"/>
        </w:rPr>
        <w:t>Ja, herr Jönssons i Revinge resonemang leder konsekvent (Forte) dithän, att de fattiga begåvningarna enligt hans mening skola handikapas genom att de icke skola få möjlighet att komma in på de banor, för vilka de hava särskilda anlag. Det blir ovillkorligen konsekvensen av hans resonemang, och ställer man sig på den ståndpunkten, borde man ju strängt taget icke nöja: sig med att yrka avslag på motionen, utan då borde man i själva verket också! avslå Kungl. Maj:ts förslag, och hävda den meningen, att något sådant anslag, varom nu är fråga, icke för närvarande borde beviljas.</w:t>
        <w:br/>
        <w:br/>
        <w:t>Jag begärde emellertid icke ordet för att säga detta, utan för att med ett par ord svara herr statsrådet och chefen för ecklesiastikdepartementet. Det är alldeles riktigt, att riksdagen icke gått in för att öka anslaget med 100,000 kronor — det är icke fonden, som skulle ökas med detta belopp årligen, utan anslaget — men riksdagen har dock gått in för att öka anslaget med 50,000 kronor för budgetåret 1923—1924, och det är endast en sådan ökning vi nu begära. Det var endast för första halvåret 1923, som det icke beviljades något anslag, men det var ju särskilda skäl, som gjorde, att man icke beviljade något anslag för det halvåret.</w:t>
        <w:br/>
        <w:br/>
        <w:t>Vad beträffar överbefolkningen på lärarbanan vill Jag säga, att den saken är mycket lätt att reglera genom de statsinstitutioner vi ha i seminarierna. Man behöver icke taga in flera elever än man anser nödigt och lämpligt för rekrytering av lärarkrafterna, och man kan alltså göra en sovring av elevmaterialet och taga ut de bäst begåvade. Om man däremot saknar möjlighet att bevilja studielån, så kan det hända, att man därigenom utestänger de bästa begåvningarna från lärarbanan, och jag skulle i hög grad beklaga, om så skulle ske. Ty just när det gäller rekryteringen på lärarbanan har man att räkna med en tillströmning av fattiga elever från arbetareoch småbondehem, och just den rekryteringen tror jag är till stort gagn för Sveriges folkskollärarkår.</w:t>
        <w:br/>
        <w:br/>
        <w:t xml:space="preserve">Till sist vill jag säga, att när man hör herr finansministern med sådan energi gå i elden för att förmå kammaren att avslå motionen, så kommer man osökt att tänka på den gamla goda historien om lektorn, som alltid hade bett Gud att få en sparsam </w:t>
      </w:r>
      <w:r>
        <w:rPr>
          <w:b/>
        </w:rPr>
        <w:t>hustru²</w:t>
      </w:r>
      <w:r>
        <w:rPr>
          <w:b w:val="0"/>
        </w:rPr>
        <w:t xml:space="preserve">, men som, då han äntligen fick en </w:t>
      </w:r>
      <w:r>
        <w:rPr>
          <w:b/>
        </w:rPr>
        <w:t>hustru²</w:t>
      </w:r>
      <w:r>
        <w:rPr>
          <w:b w:val="0"/>
        </w:rPr>
        <w:t>, med ett visst vemod kunde konstatera, att han blivit bönhörd över hövan.</w:t>
      </w:r>
    </w:p>
    <w:p>
      <w:pPr>
        <w:pStyle w:val="Heading2"/>
      </w:pPr>
      <w:r>
        <w:t>2. Johan Jönsson (Liberala riksdagspartiet, man)</w:t>
      </w:r>
    </w:p>
    <w:p>
      <w:r>
        <w:rPr>
          <w:b w:val="0"/>
        </w:rPr>
        <w:t>Herr talman! Ja, man är ju icke ovan vid, att herr Waldén använder något starka ord och uttryck, men att han skulle draga ut konsekvensen av mitt anförande därhän, att jag vore någon speciell motståndare till fattiga begåvningars omhändertagande, en sådan uppfattning tror jag väl icke många i denna kammare ändå kunnat tilltro mig att ha. Överhuvud taget är det väl endast dessa 50,000 kronor som i detta stycke skilja mig och herr Waldén åt, och skulle den saken vara avgörande, då tycker jag det kan vara hugget som stucket. Herr Lamm sade i statsutskottet, att han för sin del komme icke att skära halsen av sig, om man beviljade dessa 50,000 kronor, och jag kan verkligen säga detsamma. Det är ju så, att utskottsmajoriteten, till vilken jag anslutit mig, är med om att bevilja 300,000 kronor för detta ändamål, men herr Waldén vill gå ett litet steg längre och önskar att ytterligare 50,000 kronor skola beviljas. Principiellt stå vi dock på samma ståndpunkt, men herr Waldén har dock inte med ett ord sökt att motbevisa påståendet, att det finnes ett mycket stort överskott på aspiranter till de lärda banorna här 1 landet. Men då tycker jag verkligen det är en orimlighet, om staten alltför kraftigt — ty det är endast det frågan gäller, herr Waldén — uppmuntrar</w:t>
        <w:br/>
        <w:br/>
        <w:t>inträdet på de lärda banorna. Jag måste vidhålla, att det finnes möjlighet till utkomst i vårt land, även om man icke får komma in vid ett universitet och erhålla utbildning därstädes. Det finnes exempel på folk, som icke fått akademisk bildning, men klarat sig förträffligt ändå, och sådant folk kommer det också att finnas i fortsättningen.</w:t>
      </w:r>
    </w:p>
    <w:p>
      <w:pPr>
        <w:pStyle w:val="Heading2"/>
      </w:pPr>
      <w:r>
        <w:t>3. Anders Råstock (Socialdemokraterna, man)</w:t>
      </w:r>
    </w:p>
    <w:p>
      <w:r>
        <w:rPr>
          <w:b w:val="0"/>
        </w:rPr>
        <w:t>Jag vill endast konstatera, att herr Jönsson i Revinge tycks komma att bära med jämnmod, om kammaren bifaller reservanternas hemställan.</w:t>
        <w:br/>
        <w:br/>
        <w:t xml:space="preserve">Om någon genom lättja eller liknöjdhet ådrager sitt minderåriga barn eller adoptivbarn eller sin </w:t>
      </w:r>
      <w:r>
        <w:rPr>
          <w:b/>
        </w:rPr>
        <w:t>hustru²</w:t>
      </w:r>
      <w:r>
        <w:rPr>
          <w:b w:val="0"/>
        </w:rPr>
        <w:t xml:space="preserve"> sådan nöd, att fattigvård enligt 1 $ måste lämnas någon av dem, äge, även om fattigvården är allenast tillfällig, Konungens befallningshavande på ansökan av fattigvårdsstyrelsen samt efter det den underhållsskyldige blivit hörd och i övrigt vederbörlig utredning skett förordna att, därest ej vid varning bör bero, han skall inställa sig till och efter förmåga under viss tid ej överstigande sex månader fullgöra honom å fattigvårdsanstalt eller eljest anvisat arbete; dock med rätt för fattigvårdsstyrelsen att, om omständig-</w:t>
        <w:br/>
        <w:br/>
        <w:t xml:space="preserve">Genom det förelagda arbetets utförande anses han fullgöra honom åliggande fattigvården. skyldighet att ersätta kostnad för fattigvård, som under tiden må tilldelas hans (Forts.) minderåriga barn eller adoptivbarn eller hans </w:t>
      </w:r>
      <w:r>
        <w:rPr>
          <w:b/>
        </w:rPr>
        <w:t>hustru²</w:t>
      </w:r>
      <w:r>
        <w:rPr>
          <w:b w:val="0"/>
        </w:rPr>
        <w:t>.</w:t>
        <w:br/>
        <w:br/>
        <w:t>Vederbörande polismyndighet har att på begäran meddela handräckning för inställande till arbete av den, som enligt 71 8 därtill förpliktats, ävensom för återhämtande av understödstagare eller försörjningspliktig, som olovligen avvikit från fattigvårdsanstalt, varå han varit intagen.</w:t>
        <w:br/>
        <w:br/>
        <w:t>Dylik handräckning meddelas utan kostnad för fattigvårdsstyrelsen eller anstalten.</w:t>
        <w:br/>
        <w:br/>
        <w:t>Har någon, som gjort sig förfallen till bettleri eller lösdriveri men enligt gällande bestämmelser angående lösdrivares behandling ej kunnat dömas till tvångsarbete, blivit, på grund därav att han varit i behov av fattigvård, av Konungens befallningshavande överlämnad till fattigvårdsstyrelsen och för vård intagen å fattigvårdsanstalt, må han ej, med mindre fattigvårdsstyrelsen finner grundad anledning antaga, att han utanför anstalten skall ärligen försörja sig, lämna anstalten förrän efter tre månaders förlopp; Konungens befallningshavande dock obetaget att efter framställning av fattigvårdsstyrelsen och efter vederbörandes hörande förordna, att han skall ytterligare under viss av Konungens befallningshavande bestämd tid kvarhållas å anstalten,</w:t>
      </w:r>
    </w:p>
    <w:p>
      <w:pPr>
        <w:pStyle w:val="Heading2"/>
      </w:pPr>
      <w:r>
        <w:t>4. Helmer Molander (–, man)</w:t>
      </w:r>
    </w:p>
    <w:p>
      <w:r>
        <w:rPr>
          <w:b w:val="0"/>
        </w:rPr>
        <w:t>Herr talman, ärade kammarledamöter! Jag har ju i det föreliggande ämnet undertecknat en motion och likaså fogat en reservation till Mig eObteta utlåtande, varför jag anhåller att få taga kammarens tid i anspråk en stund.</w:t>
        <w:br/>
        <w:br/>
        <w:t>Utskottet har i sitt utlåtande såsom skäl för avslag å motionen anfört och gjort gällande, att de nu gällande bestämmelserna i 71, 72 och 73 $$ fattigvårdslagen icke i tillämpningen visat sig medföra de av motionärerna framhävda vådorna för missbruk och rättskränkningar.</w:t>
        <w:br/>
        <w:br/>
        <w:t>Jag anser dock, att det icke skall gå så lätt att komma ifrån denna för den medborgerliga rättsäkerheten så oerhört viktiga fråga. Oaktat lagen icke varit någon längre tid i tillämpning, hava redan, såsom för övrigt var att vänta, allvarsamma missförhållanden kunnat skönjas. Dessa missförhållanden anser jag bero på det otillfredsställande förfarande, som innehålles i nyssnämnda paragrafer i fattigvårdslagen.</w:t>
        <w:br/>
        <w:br/>
        <w:t>För att visa, att vi ingalunda ha grundat våra yrkanden på lösa antaganden eller fria konstruktioner, ber jag att få anföra en hel del fall ur det levande livet, vilka kommit till vår kännedom och som torde kunna styrka vad vi i motionen ha anfört. Jag skall be att få redogöra för dessa fall för att bemöta utskottet, då det i sitt utlåtande säger, att det icke kunnat framvisas några fall, som peka på att missförhållanden råda.</w:t>
        <w:br/>
        <w:br/>
        <w:t xml:space="preserve">Kilbom, som på ett mycket ingående sätt redogjorde för ett fall av synnerligen upprörande art. Jag anser mig också nödsakad att syssla med det fallet, ty det är rätt typiskt för hur man går tillväga härvidlag. Fallet gäller en vagntillsyningsman L. — det kan vara onödigt att nämna namnet, för den som privatim vill undersöka saken, går det för sig. Han var anställd vid en enskild Järnväg i närheten av Stockholm och hade fått sin lön nedsatt under depressionstiden till 200 kronor i månaden. Nu hade han att betala skatter, och man föranstaltade då om införsel i hans lön med 50 kronor per månad. En massa andra tråkiga omständigheter gjorde, att mannen kom i mycket svåra ekonomiska omständigheter, varför han ansåg sig böra söka en annan anställning, som gav honom en något högre inkomst. Detta var givetvis mycket svårt på den tiden, men han fick dock arbete på annat håll. Att märka är, att familjen hade blivit efter med hyran och när han nu var borta på annat arbete, blev familjen vräkt från sin bostad. </w:t>
      </w:r>
      <w:r>
        <w:rPr>
          <w:b/>
        </w:rPr>
        <w:t>Hustrun²</w:t>
      </w:r>
      <w:r>
        <w:rPr>
          <w:b w:val="0"/>
        </w:rPr>
        <w:t xml:space="preserve"> och barnen gåvo sig då i väg till </w:t>
      </w:r>
      <w:r>
        <w:rPr>
          <w:b/>
        </w:rPr>
        <w:t>hennes²</w:t>
      </w:r>
      <w:r>
        <w:rPr>
          <w:b w:val="0"/>
        </w:rPr>
        <w:t xml:space="preserve"> föräldrar, som bodde på en annan plats, men återvände efter någon tid till den gamla hemorten för att där söka arbete. </w:t>
      </w:r>
      <w:r>
        <w:rPr>
          <w:b/>
        </w:rPr>
        <w:t>Hon²</w:t>
      </w:r>
      <w:r>
        <w:rPr>
          <w:b w:val="0"/>
        </w:rPr>
        <w:t xml:space="preserve"> försökte skaffa sig en ny bostad åt sig och barnen, och </w:t>
      </w:r>
      <w:r>
        <w:rPr>
          <w:b/>
        </w:rPr>
        <w:t>hon²</w:t>
      </w:r>
      <w:r>
        <w:rPr>
          <w:b w:val="0"/>
        </w:rPr>
        <w:t xml:space="preserve"> blev också genast erbjuden sådan av fattigvårdsstyrelsen, dock mot en viss, av styrelsen bestämd ersättning. </w:t>
      </w:r>
      <w:r>
        <w:rPr>
          <w:b/>
        </w:rPr>
        <w:t>Hon²</w:t>
      </w:r>
      <w:r>
        <w:rPr>
          <w:b w:val="0"/>
        </w:rPr>
        <w:t xml:space="preserve"> skaffade sig vidare arbete åt sig själv och försökte på så vis uppehålla sig själv och barnen. Emellertid fick </w:t>
      </w:r>
      <w:r>
        <w:rPr>
          <w:b/>
        </w:rPr>
        <w:t>hon²</w:t>
      </w:r>
      <w:r>
        <w:rPr>
          <w:b w:val="0"/>
        </w:rPr>
        <w:t xml:space="preserve"> efter någon tid av fattigvårdsstyrelsens ordförande, utan egen begäran — anföres det i interpellationen — erbjudande att taga varor på kredit hos en handlande. </w:t>
      </w:r>
      <w:r>
        <w:rPr>
          <w:b/>
        </w:rPr>
        <w:t>Hon²</w:t>
      </w:r>
      <w:r>
        <w:rPr>
          <w:b w:val="0"/>
        </w:rPr>
        <w:t xml:space="preserve"> använde sig också av detta erbjudande och tog ut varor för 30 kronor. Dessutom fick </w:t>
      </w:r>
      <w:r>
        <w:rPr>
          <w:b/>
        </w:rPr>
        <w:t>hon²</w:t>
      </w:r>
      <w:r>
        <w:rPr>
          <w:b w:val="0"/>
        </w:rPr>
        <w:t xml:space="preserve"> en annan oång utan någon särskild anledning kontant 50 kronor. </w:t>
      </w:r>
      <w:r>
        <w:rPr>
          <w:b/>
        </w:rPr>
        <w:t>Hon²</w:t>
      </w:r>
      <w:r>
        <w:rPr>
          <w:b w:val="0"/>
        </w:rPr>
        <w:t xml:space="preserve"> hade för sin del icke trott, att detta sista var att betrakta såsom fattigunderstöd, ty man hade inom kommunen strax förut haft en stor välgörenhetsbasar eller vad det var, som hade inbringat bortåt 1,200 kronor, och vidare fanns det ett anslag på 2,000 kr. till de nödställda i kommunen.</w:t>
        <w:br/>
        <w:br/>
        <w:t xml:space="preserve">Emellertid hade mannen under tiden lyckats skaffa sig arbete, som gav honom tillräcklig inkomst för att försörja sig och sin familj. Mannen hade, märk väl, icke någon kännedom om att </w:t>
      </w:r>
      <w:r>
        <w:rPr>
          <w:b/>
        </w:rPr>
        <w:t>hustrun²</w:t>
      </w:r>
      <w:r>
        <w:rPr>
          <w:b w:val="0"/>
        </w:rPr>
        <w:t xml:space="preserve"> fått mottaga några penningar av kommunen, men, säges det vidare i interpellationen, han skulle snart erhålla kännedom om den saken. En vacker dag då mannen befann sig i sitt arbete, blev han delgiven ett fattigvårdsstyrelsens beslut, varigenom han ålades att på grund av lättja och liknöjdhet mot sin familj, så gott som omedelbart inställa sig på Stockholms stads arbetsinrättning för utförande av tvångsarbete. Han sökte då hos fattigvårdsstyrelsen genom advokat en kortare tids anstånd för att kunna anskaffa det av fattigvårdsstyrelsen krävda beloppet. som uppgick till c:a 100 kronor. Varje anstånd förvägrades honom dock. Han fördes genom polismans försorg till arbetsinrättningen, där han internerades som straffånge och kvarhölls under 4 månaders tid trots att han påvisade, att han ägde möjlighet att erhålla ett inkomstbringande arbete. Vidare är att märka i detta fall, att man och </w:t>
      </w:r>
      <w:r>
        <w:rPr>
          <w:b/>
        </w:rPr>
        <w:t>hustru²</w:t>
      </w:r>
      <w:r>
        <w:rPr>
          <w:b w:val="0"/>
        </w:rPr>
        <w:t xml:space="preserve"> levde i bästa samförstånd och att </w:t>
      </w:r>
      <w:r>
        <w:rPr>
          <w:b/>
        </w:rPr>
        <w:t>hustrun²</w:t>
      </w:r>
      <w:r>
        <w:rPr>
          <w:b w:val="0"/>
        </w:rPr>
        <w:t xml:space="preserve"> aldrig framfört något påstående, att mannen försummade sin underhållsplikt mot familjen. Det hela var, sades det, iscensatt av en kommunens förtroendeman, som, i ilska över att mannen ej var i stånd att betala sin kommunalskatt ens med tillhjälp av införsellagen. tog sin tillflykt till ett missbrukande av $ 71 i fattigvårdslagen.</w:t>
        <w:br/>
        <w:br/>
        <w:t>Det var det fallet. Jag skall nu be att få anföra ytterligare en del fall, som timat nyligen och som även äro av upprörande beskaffenhet. Jag kan lova, att jag på debattens nuvarande stadium icke skall redogöra för alla de fall, som jag har kännedom om, men ett par, tre skall jag dock be att få anföra som bevis för riktigheten av vad som sagts såväl i motionen som sedermera i min reservation.</w:t>
        <w:br/>
        <w:br/>
        <w:t xml:space="preserve">En skomakeriarbetare, F., erhöll skilsmässa från sin </w:t>
      </w:r>
      <w:r>
        <w:rPr>
          <w:b/>
        </w:rPr>
        <w:t>hustru²</w:t>
      </w:r>
      <w:r>
        <w:rPr>
          <w:b w:val="0"/>
        </w:rPr>
        <w:t xml:space="preserve">. Makarna voro Ang. ändring då bosatta i en stad i norra Sverige. Enligt skillnadsutslaget skulle hans frånav lagen oc skilda </w:t>
      </w:r>
      <w:r>
        <w:rPr>
          <w:b/>
        </w:rPr>
        <w:t>hustru²</w:t>
      </w:r>
      <w:r>
        <w:rPr>
          <w:b w:val="0"/>
        </w:rPr>
        <w:t xml:space="preserve"> hava vården av makarnas minderåriga barn, och mannen skulle fattigvården. vara skyldig att till </w:t>
      </w:r>
      <w:r>
        <w:rPr>
          <w:b/>
        </w:rPr>
        <w:t>hustrun²</w:t>
      </w:r>
      <w:r>
        <w:rPr>
          <w:b w:val="0"/>
        </w:rPr>
        <w:t xml:space="preserve"> utgiva visst månatligt underhåll för barnet. Efter (Forts.) skilsmässan flyttade mannen till annan ort, belägen i mellersta Sverige, varest han efter en tid gilte om sig och bildade ny familj. Med betalningen av underhållsbidragen till barnet i förra äktenskapet kom mannen att ligga efter, varför hans förra </w:t>
      </w:r>
      <w:r>
        <w:rPr>
          <w:b/>
        </w:rPr>
        <w:t>hustru²</w:t>
      </w:r>
      <w:r>
        <w:rPr>
          <w:b w:val="0"/>
        </w:rPr>
        <w:t xml:space="preserve"> måste begära fattigunderstöd. Fattigvårdsskulden för barnet uppgick vid ingången av 1921, enligt fattigvårdsstyrelsens uppgift, till ett rätt avsevärt belopp. I början av år 1921 meddelade fattigvårdsstyrelsen i F:s frånskilda </w:t>
      </w:r>
      <w:r>
        <w:rPr>
          <w:b/>
        </w:rPr>
        <w:t>hustrus²</w:t>
      </w:r>
      <w:r>
        <w:rPr>
          <w:b w:val="0"/>
        </w:rPr>
        <w:t xml:space="preserve"> hemortskommun föreläggande för mannen att instäl!a sig å styrelsens fattigvårdsanstalt för att fullgöra arbete till följd av den lämnade fattigvården till hans frånskilda </w:t>
      </w:r>
      <w:r>
        <w:rPr>
          <w:b/>
        </w:rPr>
        <w:t>hustru²</w:t>
      </w:r>
      <w:r>
        <w:rPr>
          <w:b w:val="0"/>
        </w:rPr>
        <w:t>. Sedan någon tid tillbaka hade mannen till följd av den då rådande depressionen gått arbetslös och var för tillfället alldeles oförmögen att betala skulden. Ej heller efterkom han föreläggandet att inställa sig till arbete.</w:t>
        <w:br/>
        <w:br/>
        <w:t xml:space="preserve">Fattigvårdsstyrelsen sände då ett utdrag av sitt protokoll till vederbörande landsfiskal, som utan vidare anhöll F. och införpassade honom till närmaste kronohäkte, varifrån han därefter i fängslat förvar sändes till </w:t>
      </w:r>
      <w:r>
        <w:rPr>
          <w:b/>
        </w:rPr>
        <w:t>hustruns²</w:t>
      </w:r>
      <w:r>
        <w:rPr>
          <w:b w:val="0"/>
        </w:rPr>
        <w:t xml:space="preserve"> hemortskommun. Framkommen till ort och ställe lyckades han dock förmå vederbörande att tills vidare avstå från sin föresats att insätta honom på arbete. Han framhöll därvid bland annat, att hans nya familj på det sättet skulle komma att sak- : ja medel till sitt uppehälle och sålunda också komma att falla fattigvården till ast.</w:t>
        <w:br/>
        <w:br/>
        <w:t>Till det nu anförda fallet skulle jag vilja foga den reflexionen, att nog hade genom en allsidig och opartisk, av kompetent myndighet verkställd prövning av saken bort kunna förebyggas en dylik meningslös och rättskränkande åtgärd som att släpa en person landet runt för att man slutligen skall finna sig föranlåten att släppa honom.</w:t>
        <w:br/>
        <w:br/>
        <w:t xml:space="preserve">Ett annat fall gäller en numera gift </w:t>
      </w:r>
      <w:r>
        <w:rPr>
          <w:b/>
        </w:rPr>
        <w:t>kvinna¹</w:t>
      </w:r>
      <w:r>
        <w:rPr>
          <w:b w:val="0"/>
        </w:rPr>
        <w:t xml:space="preserve">, vi kunna kalla </w:t>
      </w:r>
      <w:r>
        <w:rPr>
          <w:b/>
        </w:rPr>
        <w:t>henne²</w:t>
      </w:r>
      <w:r>
        <w:rPr>
          <w:b w:val="0"/>
        </w:rPr>
        <w:t xml:space="preserve"> L. </w:t>
      </w:r>
      <w:r>
        <w:rPr>
          <w:b/>
        </w:rPr>
        <w:t>Hon²</w:t>
      </w:r>
      <w:r>
        <w:rPr>
          <w:b w:val="0"/>
        </w:rPr>
        <w:t xml:space="preserve"> födde ett barn utom sitt äktenskap för några år sedan, och som </w:t>
      </w:r>
      <w:r>
        <w:rPr>
          <w:b/>
        </w:rPr>
        <w:t>hon²</w:t>
      </w:r>
      <w:r>
        <w:rPr>
          <w:b w:val="0"/>
        </w:rPr>
        <w:t xml:space="preserve"> saknade ekonomiska möjligheter att själv draga försorg om barnet, omhändertogs detsamma vid två års ålder av fattigvården, som utackorderade barnet hos en familj ute på landet. Modern erhöll ingen kännedom om var barnet befann sig. Vid förfrågningar härom svarade man, att man ej ville lämna någon upplysning om den saken, förmodligen av den anledningen, att man trodde, att modern i så fall skulle komma att »oroa» fosterföräldrarna.</w:t>
        <w:br/>
        <w:br/>
        <w:t xml:space="preserve">Någon tid efter barnets födelse knöt denna </w:t>
      </w:r>
      <w:r>
        <w:rPr>
          <w:b/>
        </w:rPr>
        <w:t>kvinna¹</w:t>
      </w:r>
      <w:r>
        <w:rPr>
          <w:b w:val="0"/>
        </w:rPr>
        <w:t xml:space="preserve"> förbindelse med en man, plåtslageriarbetaren L., med vilken </w:t>
      </w:r>
      <w:r>
        <w:rPr>
          <w:b/>
        </w:rPr>
        <w:t>hon²</w:t>
      </w:r>
      <w:r>
        <w:rPr>
          <w:b w:val="0"/>
        </w:rPr>
        <w:t xml:space="preserve"> utan vigsel sammanbodde i sju år, varefter de år 1921 ingingo äktenskap med varandra. IL. var ej fader till sin </w:t>
      </w:r>
      <w:r>
        <w:rPr>
          <w:b/>
        </w:rPr>
        <w:t>hustrus²</w:t>
      </w:r>
      <w:r>
        <w:rPr>
          <w:b w:val="0"/>
        </w:rPr>
        <w:t xml:space="preserve"> förutnämnda barn.</w:t>
        <w:br/>
        <w:br/>
        <w:t xml:space="preserve">Alltsedan makarna L. sammanflyttat med varandra hade de sökt att genom hederligt arbete förvärva sitt uppehälle. Mannen arbetade i sitt yrke, plåtslageri, och </w:t>
      </w:r>
      <w:r>
        <w:rPr>
          <w:b/>
        </w:rPr>
        <w:t>hustrun²</w:t>
      </w:r>
      <w:r>
        <w:rPr>
          <w:b w:val="0"/>
        </w:rPr>
        <w:t xml:space="preserve"> hade anställning i en konfektfabrik. Båda voro kända för ett nyktert och aktningsvärt levnadssätt. Sommaren 1921 förlorade båda makarna sina förutvarande anställningar på grund av den depression, som då rådde. Mannen L. fick söka försörja sig genom tillfälliga arbeten och </w:t>
      </w:r>
      <w:r>
        <w:rPr>
          <w:b/>
        </w:rPr>
        <w:t>hustru²</w:t>
      </w:r>
      <w:r>
        <w:rPr>
          <w:b w:val="0"/>
        </w:rPr>
        <w:t xml:space="preserve"> L. fick söka sig arbete med tvätt och hjälp i hemmen i den mån, det fanns tillgång till sådant arbete. </w:t>
      </w:r>
      <w:r>
        <w:rPr>
          <w:b/>
        </w:rPr>
        <w:t>Hustru²</w:t>
      </w:r>
      <w:r>
        <w:rPr>
          <w:b w:val="0"/>
        </w:rPr>
        <w:t xml:space="preserve"> L. hade även att vårda sin </w:t>
      </w:r>
      <w:r>
        <w:rPr>
          <w:b/>
        </w:rPr>
        <w:t>moder²</w:t>
      </w:r>
      <w:r>
        <w:rPr>
          <w:b w:val="0"/>
        </w:rPr>
        <w:t xml:space="preserve">, som genom sjukdom var oförmögen till arbete. De levde alltså i mycket knappa omständigheter och hade många gånger svårt att få födan för dagen. De erhöllo också slutligen understöd från arbetslöshetskommissionen med per dag 2 kr. för mannen och 1 kr. för </w:t>
      </w:r>
      <w:r>
        <w:rPr>
          <w:b/>
        </w:rPr>
        <w:t>hustrun²</w:t>
      </w:r>
      <w:r>
        <w:rPr>
          <w:b w:val="0"/>
        </w:rPr>
        <w:t>. |</w:t>
        <w:br/>
        <w:br/>
      </w:r>
      <w:r>
        <w:rPr>
          <w:b/>
        </w:rPr>
        <w:t>Hustru²</w:t>
      </w:r>
      <w:r>
        <w:rPr>
          <w:b w:val="0"/>
        </w:rPr>
        <w:t xml:space="preserve"> L. hade, såsom framgår av det förut nämnda, ådragit sig en skuld</w:t>
        <w:br/>
        <w:br/>
      </w:r>
      <w:r>
        <w:rPr>
          <w:b/>
        </w:rPr>
        <w:t>henne²</w:t>
      </w:r>
      <w:r>
        <w:rPr>
          <w:b w:val="0"/>
        </w:rPr>
        <w:t xml:space="preserve"> på skulden, hade </w:t>
      </w:r>
      <w:r>
        <w:rPr>
          <w:b/>
        </w:rPr>
        <w:t>hon²</w:t>
      </w:r>
      <w:r>
        <w:rPr>
          <w:b w:val="0"/>
        </w:rPr>
        <w:t xml:space="preserve"> svarat, att </w:t>
      </w:r>
      <w:r>
        <w:rPr>
          <w:b/>
        </w:rPr>
        <w:t>hon²</w:t>
      </w:r>
      <w:r>
        <w:rPr>
          <w:b w:val="0"/>
        </w:rPr>
        <w:t xml:space="preserve">, som numera vore gift, önskade återfå sitt barn för att själv svara för dess vård. Detta hade emellertid förvägrats </w:t>
      </w:r>
      <w:r>
        <w:rPr>
          <w:b/>
        </w:rPr>
        <w:t>henne²</w:t>
      </w:r>
      <w:r>
        <w:rPr>
          <w:b w:val="0"/>
        </w:rPr>
        <w:t xml:space="preserve">. Vid sådant förhållande ansåg </w:t>
      </w:r>
      <w:r>
        <w:rPr>
          <w:b/>
        </w:rPr>
        <w:t>hon²</w:t>
      </w:r>
      <w:r>
        <w:rPr>
          <w:b w:val="0"/>
        </w:rPr>
        <w:t xml:space="preserve"> sig ej skyldig att betala fattigvården för barnet. Under förut omtalade tid, då makarna L. gingo arbetslösa, krävdes de ånyo från fattigvården för kostnaden för barnet. De hänvisade då ytterligare till att de voro arbetslösa, och att de åtnjöto arbetslöshetsunderstöd för det egna uppehället och ej hade möjlighet att betala något till fattigvården för det barn, som 7 år tidigare blivit utackorderat. Vid det sista kravet hade det kommit till en ordväxling mellan mannen L. och vederbörande fattigvårdsfunktionär angående makarna L:s möjlighet att betala något å skulden. Denna kontrovers resulterade emellertid i ett föreläggande från fattigvårdsstyrelsen, att </w:t>
      </w:r>
      <w:r>
        <w:rPr>
          <w:b/>
        </w:rPr>
        <w:t>hustru²</w:t>
      </w:r>
      <w:r>
        <w:rPr>
          <w:b w:val="0"/>
        </w:rPr>
        <w:t xml:space="preserve"> L. skulle inställa sig å fattigvårdsinrättningen för att fullgöra </w:t>
      </w:r>
      <w:r>
        <w:rPr>
          <w:b/>
        </w:rPr>
        <w:t>henne²</w:t>
      </w:r>
      <w:r>
        <w:rPr>
          <w:b w:val="0"/>
        </w:rPr>
        <w:t xml:space="preserve"> där anvisat arbete. </w:t>
      </w:r>
      <w:r>
        <w:rPr>
          <w:b/>
        </w:rPr>
        <w:t>Hustru²</w:t>
      </w:r>
      <w:r>
        <w:rPr>
          <w:b w:val="0"/>
        </w:rPr>
        <w:t xml:space="preserve"> L. uraktlät emellertid att efterkomma föreläggandet.</w:t>
        <w:br/>
        <w:br/>
        <w:t xml:space="preserve">Någon tid gick utan att man vidare avhörde fattigvården. En dag, när mannen kom åter till hemmet, fanns </w:t>
      </w:r>
      <w:r>
        <w:rPr>
          <w:b/>
        </w:rPr>
        <w:t>hustrun²</w:t>
      </w:r>
      <w:r>
        <w:rPr>
          <w:b w:val="0"/>
        </w:rPr>
        <w:t xml:space="preserve"> ej hemma. Grannarna omtalade, att de hade sett, att en polisman hade infunnit sig, och att de hade hört, att denne bett </w:t>
      </w:r>
      <w:r>
        <w:rPr>
          <w:b/>
        </w:rPr>
        <w:t>hustru²</w:t>
      </w:r>
      <w:r>
        <w:rPr>
          <w:b w:val="0"/>
        </w:rPr>
        <w:t xml:space="preserve"> L. följa med till fattigvårdsanstalten för att där få underrättelse om var </w:t>
      </w:r>
      <w:r>
        <w:rPr>
          <w:b/>
        </w:rPr>
        <w:t>hennes²</w:t>
      </w:r>
      <w:r>
        <w:rPr>
          <w:b w:val="0"/>
        </w:rPr>
        <w:t xml:space="preserve"> barn befann sig samt besked, om </w:t>
      </w:r>
      <w:r>
        <w:rPr>
          <w:b/>
        </w:rPr>
        <w:t>hon²</w:t>
      </w:r>
      <w:r>
        <w:rPr>
          <w:b w:val="0"/>
        </w:rPr>
        <w:t xml:space="preserve"> skulle få taga det hem till sig.</w:t>
        <w:br/>
        <w:br/>
        <w:t xml:space="preserve">Då mannen L. i anledning härav gick till fattigvårdsanstalten för att efter- : höra </w:t>
      </w:r>
      <w:r>
        <w:rPr>
          <w:b/>
        </w:rPr>
        <w:t>hustrun²</w:t>
      </w:r>
      <w:r>
        <w:rPr>
          <w:b w:val="0"/>
        </w:rPr>
        <w:t xml:space="preserve">, fick han där kort och gott det beskedet, att vederbörande polismyndighet meddelat handräckning för </w:t>
      </w:r>
      <w:r>
        <w:rPr>
          <w:b/>
        </w:rPr>
        <w:t>hennes²</w:t>
      </w:r>
      <w:r>
        <w:rPr>
          <w:b w:val="0"/>
        </w:rPr>
        <w:t xml:space="preserve"> avhämtande till anstalten för att fullgöra det av fattigvårdsstyrelsen förelagda arbetet, och att han ej hade utsikt att på åtskillig tid få </w:t>
      </w:r>
      <w:r>
        <w:rPr>
          <w:b/>
        </w:rPr>
        <w:t>henne²</w:t>
      </w:r>
      <w:r>
        <w:rPr>
          <w:b w:val="0"/>
        </w:rPr>
        <w:t xml:space="preserve"> tillbaka till hemmet. Talet cm barnet hade tydligen endast varit en förevändning för att få </w:t>
      </w:r>
      <w:r>
        <w:rPr>
          <w:b/>
        </w:rPr>
        <w:t>henne²</w:t>
      </w:r>
      <w:r>
        <w:rPr>
          <w:b w:val="0"/>
        </w:rPr>
        <w:t xml:space="preserve"> att lättare följa med till anstalten. Vad säges exempelvis om ett sådant fall?</w:t>
        <w:br/>
        <w:br/>
        <w:t xml:space="preserve">Ett annat fall gäller, vi kunna säga makarna B. Makarna B., som varit gifta ett tiotal år, hade i äktenskapet tre minderåriga barn. Mannen B. var mekanisk arbetare och av sin arbetsgivare, en större industriell anläggning, omtyckt såsom nykter och mycket skicklig arbetare. Mellan makarna hade uppkommit djupgående misshälligheter, antagligen beroende på att mannen lidit och ännu led av en sjukdom, hysteri, som visserligen ej alltid kom till tydliga utbrott, men som dock föranlett hans vårdande vid upprepade tillfällen å olika sjukhus, bl. a. å Akademiska sjukhuset i Uppsala. </w:t>
      </w:r>
      <w:r>
        <w:rPr>
          <w:b/>
        </w:rPr>
        <w:t>Hustru²</w:t>
      </w:r>
      <w:r>
        <w:rPr>
          <w:b w:val="0"/>
        </w:rPr>
        <w:t xml:space="preserve"> B. hade nog på sitt sätt sig själv ovetande förvärrat mannens tillstånd, enär </w:t>
      </w:r>
      <w:r>
        <w:rPr>
          <w:b/>
        </w:rPr>
        <w:t>hon²</w:t>
      </w:r>
      <w:r>
        <w:rPr>
          <w:b w:val="0"/>
        </w:rPr>
        <w:t xml:space="preserve"> saknade förmåga att inse, att mannens motstridiga och. när det gällde familjens underhåll, snikna läggning grundade sig på hans sjukdom.</w:t>
        <w:br/>
        <w:br/>
        <w:t xml:space="preserve">Nu hade emellertid fattigvården till stor del fått betala kostnaderna för mannens sjukhusvistelser. Efter sin sista sjukhusvistelse hade mannen blivit relativt återställd, så att han kunnat återtaga sitt arbete hos sin förutvarande arbetsgivare. Misshälligheterna mellan makarna fortsatte emellertid och yttrade sig bl. a. i mannens ovillighet att av sin arbetslön avstå så mycket, som </w:t>
      </w:r>
      <w:r>
        <w:rPr>
          <w:b/>
        </w:rPr>
        <w:t>hustrun²</w:t>
      </w:r>
      <w:r>
        <w:rPr>
          <w:b w:val="0"/>
        </w:rPr>
        <w:t xml:space="preserve"> ansåg sig behöva för sitt och barnens underhåll. </w:t>
      </w:r>
      <w:r>
        <w:rPr>
          <w:b/>
        </w:rPr>
        <w:t>Hustrun²</w:t>
      </w:r>
      <w:r>
        <w:rPr>
          <w:b w:val="0"/>
        </w:rPr>
        <w:t xml:space="preserve"> vände sig då till fattigvården med begäran om understöd, vilken beviljades </w:t>
      </w:r>
      <w:r>
        <w:rPr>
          <w:b/>
        </w:rPr>
        <w:t>henne²</w:t>
      </w:r>
      <w:r>
        <w:rPr>
          <w:b w:val="0"/>
        </w:rPr>
        <w:t>.</w:t>
        <w:br/>
        <w:br/>
        <w:t xml:space="preserve">Nu försökte fattigvården att få mannen att återbetala dels de skulder han ådragit sig under den tid han hade legat på sjukhus, och dels också de understöd, som fattigvården lämnat till hans </w:t>
      </w:r>
      <w:r>
        <w:rPr>
          <w:b/>
        </w:rPr>
        <w:t>hustru²</w:t>
      </w:r>
      <w:r>
        <w:rPr>
          <w:b w:val="0"/>
        </w:rPr>
        <w:t>. Han kunde emellertid ej göra detta, och då meddelade fattigvården jämlikt $ 71 föreläggande för honom att inställa sig på fattigvårdens anstalt för att där fullgöra arbete. Då han ej godvilligt gick in på arbetet, begärdes handräckning hos vederbörande landsfiskal, som utan vidare införde honom till anstalten. Nu säger, efter vad jag har fått höra, ve-</w:t>
        <w:br/>
        <w:br/>
        <w:t>derbörande läkare, som blivit mycket upprörd över fallet, att mannen rätteligen ång. ändring bort på nytt intagas å sjukhus. av lagen om</w:t>
        <w:br/>
        <w:br/>
        <w:t xml:space="preserve">En sak, som väl närmast berör $ 73, skall jag också be att få anföra något fawigvården. om. Det rör en ung ogift </w:t>
      </w:r>
      <w:r>
        <w:rPr>
          <w:b/>
        </w:rPr>
        <w:t>kvinna¹</w:t>
      </w:r>
      <w:r>
        <w:rPr>
          <w:b w:val="0"/>
        </w:rPr>
        <w:t xml:space="preserve"> O., som anhållits av polismyndigheten såsom = (Forts.) misstänkt för lösdriveri. I stället för att bortdömas till tvångsarbete enligt lösdrivarelagen överlämnades </w:t>
      </w:r>
      <w:r>
        <w:rPr>
          <w:b/>
        </w:rPr>
        <w:t>hon²</w:t>
      </w:r>
      <w:r>
        <w:rPr>
          <w:b w:val="0"/>
        </w:rPr>
        <w:t xml:space="preserve">, jämlikt $ 73 i fattigvårdslagen, till vederbörande fattigvårdsstyrelse för omhändertagande, enär </w:t>
      </w:r>
      <w:r>
        <w:rPr>
          <w:b/>
        </w:rPr>
        <w:t>hon²</w:t>
      </w:r>
      <w:r>
        <w:rPr>
          <w:b w:val="0"/>
        </w:rPr>
        <w:t xml:space="preserve"> till följd av sjukdom ansågs oförmögen till arbete. Sedan </w:t>
      </w:r>
      <w:r>
        <w:rPr>
          <w:b/>
        </w:rPr>
        <w:t>kvinnan¹</w:t>
      </w:r>
      <w:r>
        <w:rPr>
          <w:b w:val="0"/>
        </w:rPr>
        <w:t xml:space="preserve"> någon tid vårdats å fattigvårdsinrättningen, ansåg </w:t>
      </w:r>
      <w:r>
        <w:rPr>
          <w:b/>
        </w:rPr>
        <w:t>hon²</w:t>
      </w:r>
      <w:r>
        <w:rPr>
          <w:b w:val="0"/>
        </w:rPr>
        <w:t xml:space="preserve"> sig själv vara tillräckligt frisk för att åter kunna komma ut. </w:t>
      </w:r>
      <w:r>
        <w:rPr>
          <w:b/>
        </w:rPr>
        <w:t>Hennes²</w:t>
      </w:r>
      <w:r>
        <w:rPr>
          <w:b w:val="0"/>
        </w:rPr>
        <w:t xml:space="preserve"> begäran att lämna inrättningen ansåg man sig likväl böra lämna utan avseende. </w:t>
      </w:r>
      <w:r>
        <w:rPr>
          <w:b/>
        </w:rPr>
        <w:t>Kvinnan¹</w:t>
      </w:r>
      <w:r>
        <w:rPr>
          <w:b w:val="0"/>
        </w:rPr>
        <w:t xml:space="preserve"> lämnade då utan tillstånd inrättningen. På begäran av fattigvårdsmyndigheten lät man genom polismyndigheten efterepana </w:t>
      </w:r>
      <w:r>
        <w:rPr>
          <w:b/>
        </w:rPr>
        <w:t>kvinnan¹</w:t>
      </w:r>
      <w:r>
        <w:rPr>
          <w:b w:val="0"/>
        </w:rPr>
        <w:t xml:space="preserve"> för </w:t>
      </w:r>
      <w:r>
        <w:rPr>
          <w:b/>
        </w:rPr>
        <w:t>hennes²</w:t>
      </w:r>
      <w:r>
        <w:rPr>
          <w:b w:val="0"/>
        </w:rPr>
        <w:t xml:space="preserve"> återförande till inrättningen. lmellertid lämnade efterspaningarna tillsvidare ej något resultat.</w:t>
        <w:br/>
        <w:br/>
      </w:r>
      <w:r>
        <w:rPr>
          <w:b/>
        </w:rPr>
        <w:t>Kvinnan¹</w:t>
      </w:r>
      <w:r>
        <w:rPr>
          <w:b w:val="0"/>
        </w:rPr>
        <w:t xml:space="preserve"> hade, sedan </w:t>
      </w:r>
      <w:r>
        <w:rPr>
          <w:b/>
        </w:rPr>
        <w:t>hon²</w:t>
      </w:r>
      <w:r>
        <w:rPr>
          <w:b w:val="0"/>
        </w:rPr>
        <w:t xml:space="preserve"> flytt från anstalten börjat ett nytt liv. </w:t>
      </w:r>
      <w:r>
        <w:rPr>
          <w:b/>
        </w:rPr>
        <w:t>Hon²</w:t>
      </w:r>
      <w:r>
        <w:rPr>
          <w:b w:val="0"/>
        </w:rPr>
        <w:t xml:space="preserve"> kom i förbindelse med en man, som av intresse för </w:t>
      </w:r>
      <w:r>
        <w:rPr>
          <w:b/>
        </w:rPr>
        <w:t>henne²</w:t>
      </w:r>
      <w:r>
        <w:rPr>
          <w:b w:val="0"/>
        </w:rPr>
        <w:t xml:space="preserve"> tog sig an </w:t>
      </w:r>
      <w:r>
        <w:rPr>
          <w:b/>
        </w:rPr>
        <w:t>henne²</w:t>
      </w:r>
      <w:r>
        <w:rPr>
          <w:b w:val="0"/>
        </w:rPr>
        <w:t xml:space="preserve"> och flyttade till honom såsom hans </w:t>
      </w:r>
      <w:r>
        <w:rPr>
          <w:b/>
        </w:rPr>
        <w:t>hushållerska³</w:t>
      </w:r>
      <w:r>
        <w:rPr>
          <w:b w:val="0"/>
        </w:rPr>
        <w:t xml:space="preserve">. De levde som man och </w:t>
      </w:r>
      <w:r>
        <w:rPr>
          <w:b/>
        </w:rPr>
        <w:t>hustru²</w:t>
      </w:r>
      <w:r>
        <w:rPr>
          <w:b w:val="0"/>
        </w:rPr>
        <w:t xml:space="preserve"> och någon anmärkning mot </w:t>
      </w:r>
      <w:r>
        <w:rPr>
          <w:b/>
        </w:rPr>
        <w:t>kvinnans¹</w:t>
      </w:r>
      <w:r>
        <w:rPr>
          <w:b w:val="0"/>
        </w:rPr>
        <w:t xml:space="preserve"> liv och leverne var ej längre att göra. </w:t>
      </w:r>
      <w:r>
        <w:rPr>
          <w:b/>
        </w:rPr>
        <w:t>Hon²</w:t>
      </w:r>
      <w:r>
        <w:rPr>
          <w:b w:val="0"/>
        </w:rPr>
        <w:t xml:space="preserve"> gick helt upp i skötseln av hemmet.</w:t>
        <w:br/>
        <w:br/>
        <w:t xml:space="preserve">Så fortgick det i tvenne år. Men en dag tog detta sakernas tillstånd ett hastigt slut. Av någon anledning hade fattigvårdsmyndigheten fått kännedom om </w:t>
      </w:r>
      <w:r>
        <w:rPr>
          <w:b/>
        </w:rPr>
        <w:t>kvinnans¹</w:t>
      </w:r>
      <w:r>
        <w:rPr>
          <w:b w:val="0"/>
        </w:rPr>
        <w:t xml:space="preserve"> vistelseort och efter handräckning av polismyndigheten återfördes rymlingen (ill fattigvårdsinrättningen, där </w:t>
      </w:r>
      <w:r>
        <w:rPr>
          <w:b/>
        </w:rPr>
        <w:t>hon²</w:t>
      </w:r>
      <w:r>
        <w:rPr>
          <w:b w:val="0"/>
        </w:rPr>
        <w:t xml:space="preserve"> åter inspärrades under bevakning. Mannen, med vilken </w:t>
      </w:r>
      <w:r>
        <w:rPr>
          <w:b/>
        </w:rPr>
        <w:t>hon²</w:t>
      </w:r>
      <w:r>
        <w:rPr>
          <w:b w:val="0"/>
        </w:rPr>
        <w:t xml:space="preserve"> sammanlevde, vände sig till fattigvårdsmyndigheten med bönfallan om, att man skulle släppa </w:t>
      </w:r>
      <w:r>
        <w:rPr>
          <w:b/>
        </w:rPr>
        <w:t>henne²</w:t>
      </w:r>
      <w:r>
        <w:rPr>
          <w:b w:val="0"/>
        </w:rPr>
        <w:t xml:space="preserve">, men utan resultat. Först sedan fattigvårdsmyndigheten uppställt såsom villkor, att han skulle ingå äktenskap med </w:t>
      </w:r>
      <w:r>
        <w:rPr>
          <w:b/>
        </w:rPr>
        <w:t>kvinnan¹</w:t>
      </w:r>
      <w:r>
        <w:rPr>
          <w:b w:val="0"/>
        </w:rPr>
        <w:t xml:space="preserve">, och han utfäst sig att göra detta, vilken vigsel för övrigt förutsattes skola försiggå på fattigvårdsinrättningen, fick han löfte att få </w:t>
      </w:r>
      <w:r>
        <w:rPr>
          <w:b/>
        </w:rPr>
        <w:t>henne²</w:t>
      </w:r>
      <w:r>
        <w:rPr>
          <w:b w:val="0"/>
        </w:rPr>
        <w:t xml:space="preserve"> fri. Friheten från inrättningen kunde alltså av </w:t>
      </w:r>
      <w:r>
        <w:rPr>
          <w:b/>
        </w:rPr>
        <w:t>kvinnan¹</w:t>
      </w:r>
      <w:r>
        <w:rPr>
          <w:b w:val="0"/>
        </w:rPr>
        <w:t xml:space="preserve"> köpas endast genom förlusten av friheten att själv bestämma, huruvida </w:t>
      </w:r>
      <w:r>
        <w:rPr>
          <w:b/>
        </w:rPr>
        <w:t>hon²</w:t>
      </w:r>
      <w:r>
        <w:rPr>
          <w:b w:val="0"/>
        </w:rPr>
        <w:t xml:space="preserve"> ville ingå ett äktenskap eller ej. Det skulle alltså bli fattigvårdsmyndigheten, som skulle tvinga dessa människor att ingå äktenskap. Det kan kanske vara lyckligt för </w:t>
      </w:r>
      <w:r>
        <w:rPr>
          <w:b/>
        </w:rPr>
        <w:t>kvinnan¹</w:t>
      </w:r>
      <w:r>
        <w:rPr>
          <w:b w:val="0"/>
        </w:rPr>
        <w:t xml:space="preserve">, man må hoppas det, men motsatsen kan också vara tänkbar. Nu tror jag emellertid icke, att man kan tillerkänna fattigvårdsstyrelsen vare sig befogenhet eller kompetens att på ett dylikt sätt ingripa i två människors liv utan deras fullt fria vilja, som man här har ifrågasatt. Om </w:t>
      </w:r>
      <w:r>
        <w:rPr>
          <w:b/>
        </w:rPr>
        <w:t>hon²</w:t>
      </w:r>
      <w:r>
        <w:rPr>
          <w:b w:val="0"/>
        </w:rPr>
        <w:t xml:space="preserve"> inte har sluppit ut de senaste dagarna, så sitter </w:t>
      </w:r>
      <w:r>
        <w:rPr>
          <w:b/>
        </w:rPr>
        <w:t>hon²</w:t>
      </w:r>
      <w:r>
        <w:rPr>
          <w:b w:val="0"/>
        </w:rPr>
        <w:t xml:space="preserve"> ännu på Stockholms stads tvångsarbetsinrättning. Jag menar att med dylika fall för ögonen -— jag har en lunta till — finnes det skäl för det yrkande, som vi framställt i vår motion.</w:t>
        <w:br/>
        <w:br/>
        <w:t>Nu är det väl emellertid så, att i samma mån som den kapitalistiska utvecklingsprocessen kommer till sin mognad har den också såsom en given följd fått i släptåg olika antisociala företeelser, som i vissa avseenden hota att på ett betänkligt sätt störa lugnet och tillfredsställelsen hos de besittande klasserna. Anhängarna av den kapitalistiska samhällsordningen hava även visat sig vara angelägna att genom allehanda regulativ söka råda bot för eller åtminstone överskyla de uppkomna missförhållandena väl vetande att desamma, i den mån de få gripa omkring sig, skulle utgöra ett otvetydigt bevis på den förruttnelseprocess, som redan börjat angripa det kapitalistiska samhället, och framtvinga en till själva den ekonomiska grunden gående omläggning av samhällsordningen.</w:t>
        <w:br/>
        <w:br/>
        <w:t>De åtgärder, varmed man tror sig kunna avhjälpa missförhållandena, hava delvis bestått i utvecklandet av en samhällelig välgörenhetsverksamhet, som många gånger synes ha till ändamål att överskyla samhällsrevorna och blidka sinnena. Men bakom och vid sidan av denna samhälleliga välvilja har man lagstiftat om vissa tvångsåtgärder, som visserligen ej formellt ha samma karaktär,</w:t>
        <w:br/>
        <w:br/>
        <w:t>De tvångsåtgärder, som jag nu närmast avser, äro de bestämmelser därom, som innehållas i lösdrivarelagen och i $$ 71, 72 och 73 i gällande fattigvårdslag. I detta sammanhang torde även böra erinras om lagstiftningen ang. tvångsinternering av alkoholister.</w:t>
        <w:br/>
        <w:br/>
        <w:t>Det utmärkande för dessa bestämmelser, som innebära ett lika kraftigt ingripande i den personliga friheten, som ett fängelsestraff, är att handhavandet av bestämmelserna är anförtrott åt administrativ myndighet och sålunda ej, såsom i fråga om utdömande av straff för brott, ligger under ett judiciellt domstolsförfarande.</w:t>
        <w:br/>
        <w:br/>
        <w:t>Från s. k. samhällsbevarande håll har alltid med synnerlig iver avvisats den ofta framförda tanken på att lägga även förutnämnda tvångsåtgärder under ett judiciellt förfarande. Betecknande är att man, såsom skäl mot en sådan anordning, alltid på sina läppar fört humanitetens talan, med framhållande av att en judiciell behandling av de ifråvavarande företeelserna skulle vara liktydig med en kriminalisering av desamma. Det är dock att märka, att ett judiciellt förfarande ju icke alls medför att den företeelse, mot vilken åtgärden riktar sig, får karaktären av ett brott. Och huru ihåligt och bedrägligt det föreburna talet om humanitet i själva verket är, bör var och en kunna inse vid tanke på de barbariska former, som komma till synes vid de administrativa myndigheternas tillämpning av lösdrivarelagen och förutnämnda bestämmelser 1 fattigvårdslagen.</w:t>
        <w:br/>
        <w:br/>
        <w:t>Vad kan då den verkliga anledningen vara till denna tydliga motvilja mot det judiciella förfarandet? Jo, uppenbarligen därpå, att man väl förstår, att detta förfarande ej kan medgiva den godtyckliga och utöver lagbestämmelsernas direkta räckvidd gående tillämpning, som ett administrativt förfarande alltid kan giva utrymme för. Jag tror mig kunna göra det påståendet att de besittande genom ett sådant godtyckligt förfarande kunna vinna det målet, att ej blott de verkligt antisociala företeelserna beivras utan vad säkerligen ur de besittandes synpunkt har långt större intresse, att därigenom stora delar av de egendomslösa folkklasserna — som genom konjunkturväxlingar i det ekonomiska livet eller genom sjukdom eller arbetslöshet eller av andra olyckliga omständigheter rubbas ur sina vanliga levnadsförhållanden och till följd därav innebära ett jäsningsämne, som hotar den kapitalistiska ordningen — hållas i schack. Det är ju också betecknande, att det för kort tid sedan av fattigvårdskommitterade framlagda förslaget till ny lösdrivarlag, som inom hela arbetarklassen rönt en enhällig förkastelsedom, fortfarande bygger behandlingen av lösdrivarna på ett administrativt förfarande.</w:t>
        <w:br/>
        <w:br/>
        <w:t>I den föreliggande motionen har jag och mina medmotionärer föreslagit, att beslut om arbetsföreläggande för s. k. försumliga familjeförsörjare skall meddelas av vederbörande länsstyrelse i stället för, såsom nu är fallet, av fattigvårdsstyrelsen samt att den sakliga prövningen av förutsättningarna för en persons tvångsvisa intagande å fattigvårdsanstalt för fullgörande av arbete likaledes skall tillkomma länsstyrelsen och ej såsom nu vederbörande landsfiskal celler magistrat. Detta för att i möjligaste mån utesluta, att en kränkning sker av den personliga friheten till följd av godtycke, partiskhet eller bristande kompetens hos den beslutande myndigheten. Att, som det nu är ordnat, några garantier mot dylika rättskränkningar ej finnas, måste ligga i sakens natur, och ber jag att få hänvisa till vad därutinnan anförts i motionen och i min till utskottets utlåtande avgivna reservation. Fattigvårdsstyrelsen, som är den som har fordran för den lämnade fattigvården, dömer ju i dessa fall i egen sak och kan även i andra avseenden ej alltid anses stå fri från obehöriga sidoinflytelser. TLandsfiskalerna framstå förnämligast såsom representanter för den lägre polis-</w:t>
        <w:br/>
        <w:br/>
        <w:t>och åklagarmyndigheten och betraktas ofta i denna sin egenskap stå i ett visst Ang. ändring motsatsförhållande till de kategorier medborgare, som åtgärderna bruka gå ut av lagen om över. Dessutom är det vanligt, att landsfiskalerna landet runt bruka vid sidan fattigvården. av sin tjänst driva en omfattande verksamhet som privatadvokater, med på- (Forts.) följd, att man aldrig rätt kan lita på att icke även enskilda intressen kunna</w:t>
        <w:br/>
        <w:br/>
        <w:t>ligga bakom deras tjänsteåtgöranden.</w:t>
        <w:br/>
        <w:br/>
        <w:t>Vad angår den vilseledande formuleringen av 72 $ fattigvårdslagen, angående polismyndighetens meddelande av handräckning åt fattigvårdsmyndigheten för inställelse av den arbetsskyldiga till fullgörande av arbete å fattigvårdsanstalt, måste det anses oförsvarligt, att paragrafen fortfarande får kvarstå i sin nuvarande formulering. Det är en nödvändighet, att den avfattas så, att av densamma tydligt och klart framgår, att polismyndigheten är skyldig att självständigt pröva de sakliga förutsättningarna för den av fattigvårdsmyndigheten begärda handräckningen.</w:t>
        <w:br/>
        <w:br/>
        <w:t xml:space="preserve">Vad angår det nuvarande förfarandet mot de s. k. arbetsoförmögna, varom 73 $ handlar, ber jag att få hänvisa till de i motionen framställda anmärkningarna, som av utskottet ej i något avseende kunnat vederläggas. Det är ju dock orimligt, att en dylik person skall kunna på det sätt, som föreskrives i nämnda paragraf, på obestämd tid förlora sin frihet. Om han eller </w:t>
      </w:r>
      <w:r>
        <w:rPr>
          <w:b/>
        </w:rPr>
        <w:t>hon²</w:t>
      </w:r>
      <w:r>
        <w:rPr>
          <w:b w:val="0"/>
        </w:rPr>
        <w:t xml:space="preserve"> i stället bortdömts på tvångsarbete hade dock någon sluttid för inspärrningen blivit av länsstyrelsen föreskriven. Man bör ej lita på att man alltid har att göra med personer, som ha förmåga att göra sin rätt och sina önskningar gällande mot vederbörande myndigheter, eller att fattigvårdsmyndigheterna, ej minst när det gäller de större fattigvårdsanstalterna, ha tillfälle eller förmåga att ständigt tillse, att ej frihetsförlusen kommer att sträcka sig längre tid, än som är erforderligt.</w:t>
        <w:br/>
        <w:br/>
        <w:t>Ej ens det i motionen framställda förslaget, att förfarandet beträffande de s. k. försumliga familjeförsörjarna och de arbetsoförmögna lösdrivarna bör handhavas av länsstyrelserna i stället för av fattigvårdsstyrelserna och de underordnade polismyndigheterna. utgör i verkligheten en fullt tillfredsställande anordning. Alldeles samma skäl, som göra, att man måste fordra, att behandlingen av lösdrivare ej vidare bör anförtros åt administrativa myndigheter utan göras till föremål för ett judiciellt förfarande, tala för att inskridandet mot de försumliga familjeförsörjarna och de arbetsoförmögna lösdrivarna lägges under ett judiciellt förfarande. I såväl det ena som det andra fallet finnas samma behov av att med de starkaste garantier skydda den personliga friheten mot obehöriga kränkningar. Genomförandet av ett Judiciellt förfarande torde dock ej kunna förväntas ske utan åtskillig tids väntan. Vi hava därför ansett, att, i avbidan härpå, ifrågavarande bestämmelser i fattigvårdslagen ej kunna få äga fortsatt giltighet, utan att man bör se till, att under tiden de åtgärder för vinnande av större rättssäkerhet, som omedelbart kunna vidtagas, nämligen ett överflyttarde av förfarandet från fattigvårdsstyrelser och underordnade polismyndigheter till länsstyrelserna, utan dröjsmål även bliva vidtagna.</w:t>
        <w:br/>
        <w:br/>
        <w:t>Med anledning av vad jag sålunda dels i reservationen och dels nu anfört, ber jag, herr talman, att få yrka bifall till den av herr Samuelsson och mig med flera i ämnet väckta motionen.</w:t>
      </w:r>
    </w:p>
    <w:p>
      <w:pPr>
        <w:pStyle w:val="Heading2"/>
      </w:pPr>
      <w:r>
        <w:t>5. Karl Magnusson (Socialdemokraterna, man)</w:t>
      </w:r>
    </w:p>
    <w:p>
      <w:r>
        <w:rPr>
          <w:b w:val="0"/>
        </w:rPr>
        <w:t>Herr talman! Det var Ju en synnerligen mörk bild, som av den ärade föregående talaren målades i fråga om dessa förhållanden i samhället. Det skulle emellertid ha varit önskligt, att motionärerna hade åberopat och refererat åtminstone något av dessa fall i sin motion, så att man hade haft möjlighet att antingen bestyrka eller Jäva dess riktighet. Nu har man Ju inte möjlighet att göra någotdera, därför att de kastats fram först här i debatten. Jag vill därför inte uttala mig om dessa fall, som den ärade motionären och reservanten åberopat. Men jag vill redan nu säga, att det är synnerli-</w:t>
        <w:br/>
        <w:br/>
        <w:t>säga sådana personer, som ha det dagliga handhavandet av dylika göromål sig förelagt, så säga de, att de inte ha kännedom om några dylika fall. Jag har talat med statens fattigvårdsinspektör, och han säger såsom svar på en sådan fråga följande: »För min del har jag under de fem år, fattigvårdslagen varit i kraft, ej kunnat finna, att några som helst vådor uppstått av bestämmelsen ifråga. Arbetsföreläggande torde visserligen i en del fall skett, utan att fattigvårdsstyrelserna fullt beaktat de villkor, som lagen förutsätter härför, men rättelse härutinnan har, såsom också avsetts vid lagens tillkomst, skett vid prövning av handräcknings meddelande.» I fråga om $ 73 i fattigvårdslagen har nämligen statens fattigvårdsinspektör även uttalat sig på följande sätt: »Beträffande bestämmelserna i $ 73 beröra de huvudsakligen storstäderna. Erfarenheten visar, att de personer, som falla under detta lagrum, äro mycket svårhanterliga, oftast kriminella, och att de vålla fattigvårdsstyrelserna stora bekymmer. Mot tillämpningen av bestämmelserna i denna paragraf ha inga befogade klagomål, såvitt jag vet, försports.» Jag har också talat med en av denna kammares ledamöter, som är fattigvårdskonsulent, och han har meddelat mig, att han för sin personliga del inte känner ett enda fall, där de nuvarande bestämmelserna i fattigvårdslagen $$ 71, 72 och 73 skulle inneburit någon risk för kränkning av den personliga friheten. När man dessutom vet, att fattigvårdsstyrelserna litet varstädes i landet tveka synnerligen länge, innan de bestämma sig för att tillämpa $ 71, enär de mycket ogärna vilja ha in dessa individer på fattigvårdsanstalterna för att där utföra arbete, därför att dessa fördärva trevnaden för andra där intagna personer, så torde kammaren inte förtänka en, att man tycker det är litet egendomligt, att det sedan, såsom här nu skett av reservanten, kan målas upp denna mörka bild av dessa paragrafers verkningar. Det hade emellertid som sagt varit önskvärt, att man i motionen lagt fram åtminstone något av dessa fall, så att man fått tillfälle att undersöka detsamma. Så har nu inte skett, och icke heller i reservationen har man pekat på något bestämt fall utan endast uttalat sig i allmänna ordalag. Och då man som sagt fått dessa upplysningar från vederbörande personer, som ha hand om det dagliga arbetet med dessa förhållanden och med lagens tillämpning, så är det alldeles påtagligt, att utskottet icke kunnat komma till något annat resultat, än det gjort, nämligen att avstyrka motionen.</w:t>
        <w:br/>
        <w:br/>
        <w:t xml:space="preserve">Nu syftar, såsom reservanten också tydligt framhöll, motionen till att den beslutanderätt att ålägga försumliga familjeförsörjare arbete, som fattigvårdsstyrelsen har enligt $ 71, skall fråntagas fattigvårdsstyrelsen, varjämte polismyndigheten såsom handräckningsmyndighet och verkställare av dessa beslut skulle så att säga sättas ur spelet och det hela läggas i Kungl. Maj:ts befallningshavandes hand, efter det att fattigvårdsstyrelsen fått uttala sig i frågan. Jag vill då först erinra om, att de personer, det här gäller, äro försumliga familjeförsörjare, således personer, som försumma att göra sin plikt att försöka försörja sin </w:t>
      </w:r>
      <w:r>
        <w:rPr>
          <w:b/>
        </w:rPr>
        <w:t>hustru²</w:t>
      </w:r>
      <w:r>
        <w:rPr>
          <w:b w:val="0"/>
        </w:rPr>
        <w:t xml:space="preserve"> och sina barn. Det gäller också dessa, såsom redan framhållits, mycket svårhanterliga element. Och då förefaller det mig, att man inte får allt för mycket, på sätt motionärerna synas avse, tillämpa byråkratiska former, när det gäller att få dessa människor att göra sin plikt mot sina anhöriga. Ty om man skulle överföra beslutanderätten i fråga om detta arbetsåläggande för dessa försumliga familjeförsörjare från fattigvårdsstyrelsen till länsstyrelsen, så skulle därav följa en längre tidsutdräkt, när det gäller beslutets effektuerande, med möjlighet för den försumliga familjeförsörjaren att undgå beslutets verkställande och dra sig undan det hela. Man skulle genom ett sådant förfaringssätt få en i det närmaste ineffektiv bestämmelse, som skulle visa sig icke kunna fylla de uppgifter, som man kan kräva, att en sådan be-</w:t>
        <w:br/>
        <w:br/>
        <w:t>lagen, och man ansåg också, efter vad jag kan förstå, att fattigvårdsstyrelsen</w:t>
        <w:br/>
        <w:br/>
        <w:t>som dock har det dagliga handhavandet av dessa frågor, även är skickad att</w:t>
        <w:br/>
        <w:br/>
        <w:t>avgöra och bestämma, huruvida arbetsåläggande skall ske för en sådan individ</w:t>
        <w:br/>
        <w:br/>
        <w:t>eller icke. Och så snart ett sådant beslut är fattat, kan det också verkställas</w:t>
        <w:br/>
        <w:br/>
        <w:t>av polismyndigheten efter den prövning av beslutets laglighet, som polismyn-</w:t>
        <w:br/>
        <w:br/>
        <w:t>digheten enligt departementschefens uttalande vid propositionens framläggande,</w:t>
        <w:br/>
        <w:br/>
        <w:t>har skyldighet att verkställa. Man kan alltså få beslutet snabbt expedierat utan</w:t>
        <w:br/>
        <w:br/>
        <w:t>någon sådan möjlighet för den person, mot vilken det är riktat, att undgå det</w:t>
        <w:br/>
        <w:br/>
        <w:t>hela, men som skulle föreligga, om man, på sätt motionärerna tänkt sig, skulle överlämna åt länsstyrelsen att besluta i saken.</w:t>
        <w:br/>
        <w:br/>
        <w:t>Nu finns det, det vill jag erkänna, ingen klagorätt mot fattigvårdsstyrelsens beslut om arbetsåläggande för försumliga familjeförsörjare. Men det finns klagorätt mot polismyndighetens verkställande av fattigvårdsstyrelsens beslut. och polismyndigheten har, såsom jag nyss framhöll, skyldighet att pröva lagligheten av fattigvårdsstyrelsens beslut. Mot detta polismyndighetens beslut om att biträda med handräckning åt fattigvårdsstyrelsen finnes rätt att klaga hos Kungl. Maj:ts befallningshavande. Under sådana förhållanden finns det, enligt vad jag kan förstå, garanti för att den personliga friheten icke skall kränkas genom några förhastade beslut vare sig hos en fattigvårdsstyrelse eller hos en polismyndighet, när det gäller att verkställa ett fattigvårdsstyrelsens beslut i en sådan fråga.</w:t>
        <w:br/>
        <w:br/>
        <w:t>Vad sedan gäller $ 73, tror jag, att man inte heller där har anledning att för tillfället göra någon ändring, då det väl är ganska sannolikt, att nästa års riksdag får att behandla frågan om den nya lösdrivarlagen, och då kan man ju vid det tillfället taga slutgiltig ståndpunkt till denna sak.</w:t>
        <w:br/>
        <w:br/>
        <w:t>Emellertid, herr talman, efter vad jag kan förstå, ha inte motionärerna och ej heller reservanten i sin motion och i sin reservation presterat några sakliga skäl för en ändring av dessa paragrafer i fattigvårdslagen, nämligen $$ 71, 72 och 73. Men innan man företager en ändring i en lag, bör man väl givetvis hava skäl för en sådan ändring. Nu kanhända reservanten kommer och säger, att han i sitt anförande här i kammaren har givit starka belägg för behovet av en ändring av dessa paragrafer, och att det väl må vara nog. Ja, jag överlämnar åt en var av kammarens ledamöter att avgöra den saken. Men jag säger för min del, att innan jag kan taga ställning till dessa fall, vill jag ha möjlighet att i någon mån kontrollera, hur det förhåller sig med dem, hur de i själva verket ligga till. Utan att ha haft möjlighet till en sådan kontroll kan jag icke på basis av dessa uttalanden biträda ett förslag om lagändring i detta avseende. Jag skall därför, herr talman, be att med dessa ord få yrka bifall till utskottets hemställan.</w:t>
        <w:br/>
        <w:br/>
        <w:t>Innan jag slutar, kan jag dock icke underlåta att säga några ord med anledning av reservationen. Dess bättre förekommer det mycket sällan, att vi 1 riksdagens handlingar få läsa en så hänsynslöst avfattad reservation som denna. Jag nödgas säga detta, herr talman, därför att jag personligen har känt det på det sättet, och jag har talat med flera av kammarens ledamöter, som också ha delat denna min uppfattning. Jag kan inte erinra mig, att jag under de femton riksdagar jag bevistat läst en reservation, som har gjort det intryck på mig som denna i fråga om hänsynslöshet, dels mot det utskott, som på sin tid behandlade fattigvårdslagen, och dels mot det utskott, andra lagutskottet i år,</w:t>
        <w:br/>
        <w:br/>
        <w:t>förekomma i denna reservation, så kvarstår ingenting sakligt att bemöta i reservationen. Och under sådana förhållanden, herr talman, har jag ingen anledning att vidare ingå på denna reservation, utan jag anhåller, som sagt, att få yrka bifall till utskottets hemställan.</w:t>
      </w:r>
    </w:p>
    <w:p>
      <w:pPr>
        <w:pStyle w:val="Heading2"/>
      </w:pPr>
      <w:r>
        <w:t>6. Anders Paulsen (Socialdemokraterna, man)</w:t>
      </w:r>
    </w:p>
    <w:p>
      <w:r>
        <w:rPr>
          <w:b w:val="0"/>
        </w:rPr>
        <w:t>Herr talman, mina damer och herrar! Enligt 71 8 av gällande fattigvårdslag har fattigvårdsstyrelsen rätt att ålägga sådan familjeförsörjare arbete, vilken genom lättja, liknöjdhet eller försumlighet ådrager sin familj sådan nöd, att den måste omhändertagas av fattigvården. Jag har ingenting att invända mot denna bestämmelse mer än att lagen ännu inte är fullt tillämplig. Ty om man undantar de stora städerna, som ha arbetsinrättningar, samt de landekommuner, som ha jordbruk vid sina försörjningsinrältningar, så har man ingen möjlighet att tillämpa denna lagbestämmelse, därför att man intet arbete har att ge dessa människor, och följden är, att de få gå fria. Emellertid stadgar lagen, att varje landsting skall hålla arbetshem, och när dessa arbetshem bli färdiga, alltså senast den 1 januari 1929, så får man möjlighet att överallt i landet tillämpa denna lag.</w:t>
        <w:br/>
        <w:br/>
        <w:t>Nu anse emellertid motionärerna, att det inte är riktigt, att fattigvårdsstyrelsen skall ha möjlighet att ålägga dessa personer arbete, utan de vilja, att den rättigheten skall överflyttas till Kungl. Maj:ts befallningshavande. Jag har funderat väldeliga över vad man egentligen från det hållet därigenom vill vinna. Och jag har inte kunnat komma till något annat resultat, än att vad man skulle vinna genom att överflytta denna rättighet från fattigvårdsstyrelsen till Kungl. Maj:ts befallningshavande är att det skulle bli möjligt för de försumliga familjeförsörjarna att avdunsta från orten och hålla sig undan det arbete, som man ville ålägga dem. Jag vill för min del säga, att skall det vara någonting med en sådan bestämmelse, att man skall kunna ålägga de försumliga familjeförsörjarna arbete, då måste fattigvårdsstyrelsen ha denna rätt, och den bör icke överflyttas till Kungl. Maj:ts befallningshavande. Om så sker, blir det endast en pappersbestämmelse, som inte får någon tillämpning i verkligheten, ty när Kungl. Maj:ts befallningshavande har hunnit utreda saken, finns den person, det gäller, inte längre på orten, och det hela måste förfalla.</w:t>
        <w:br/>
        <w:br/>
        <w:t>Men det är en annan sak, som motionärerna i detta sammanhang ha pekat på och som är av en helt annan betydelse, ehuru jag får säga, att motionärerna därvidlag inte träffat rätt. Motionärerna ha påpekat lagens bestämmelse om att man kan hålla en sådan person till arbete under en tid av intill ett år, och detta vilja motionärerna hava ändrat till högst ett halvt år. Nu vill jag säga herrarna, att det betyder absolut ingenting, om det står ett år eller ett halvt år, ty det finns ingenting föreskrivet om hur lång tid som skall hava förflutit från det en sådan person blivit frigiven tills han kan tagas in igen. Om en fattigvårdsstyrelse är olämplig — och herrar motionärer förutsätta Ju, att fattigvårdsstyrelserna överhuvud äro olämpliga — så kan en sådan fattigvårdsstyrelse, när den släppt ut mannen den ena dagen, sätta in honom på nytt dagen därpå och på det sättet praktiskt taget hålla honom inne på arbete under ett helt långt liv. Den saken behöver rättas. Såvitt jag vet, har något sådant inte förekommit, men det kan förekomma. Och lagen bör vara sådan, att man inte skall kunna göra orätt mot någon.</w:t>
        <w:br/>
        <w:br/>
        <w:t xml:space="preserve">När nu inte motionärerna sagt någonting om denna sak och inte heller utskottet samt jag för min del icke är beredd att komma med något förslag om hur lång tid som bör förflyta från det en sådan människa sluppit lös till dess </w:t>
      </w:r>
      <w:r>
        <w:rPr>
          <w:b/>
        </w:rPr>
        <w:t>hon²</w:t>
      </w:r>
      <w:r>
        <w:rPr>
          <w:b w:val="0"/>
        </w:rPr>
        <w:t xml:space="preserve"> kan sättas in igen, så har jag, herr talman, ingenting annat att göra än att instämma i yrkandet om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1615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