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474</w:t>
      </w:r>
    </w:p>
    <w:p>
      <w:r>
        <w:rPr>
          <w:b/>
        </w:rPr>
        <w:t xml:space="preserve">Datum: </w:t>
      </w:r>
      <w:r>
        <w:t>1924-05-09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Primus Wahlmark (Socialdemokraterna, man)</w:t>
      </w:r>
    </w:p>
    <w:p>
      <w:r>
        <w:rPr>
          <w:b w:val="0"/>
        </w:rPr>
        <w:t>Herr talman! Jag ber om ursäkt för att jag vid denna sena timme tar till orda men då kammaren är i den kanske enastående belägenheten, att den vid detta ärendes behandling har tillgång till representanter för de korporationer, som äro direkt intresserade i saken, har jag ansett mig även böra yttra några ord. De representanter, som här finnas, äro dels för stadsfullmäktige, såväl dess majoritet som dess minoritet dels även för skolstyrelsen. Jag har även — och det är särskilt därför, som jag begärt ordet — deltagit i den kommitté, som haft hand om utredningen om de medel, som efter skilsmässan skulle fortfarande höra stiftelsen till och som borde komma under staden.</w:t>
        <w:br/>
        <w:br/>
        <w:t>De allmänna synpunkter, som varit bestämmande för staden att söka få 1909 års lag tillämplig, hava av en av ledamöterna i konstitutionsutskottet här närmare utvecklats, varför jag icke skall närmare ingå på dessa. Jag vill i alla fall gentemot de synpunkter, som framförts av den föregående talaren, såväl i hans reservation i skoldirektionen som även här, anföra, att stadsfullmäktige från början hava ansett det vara en självskriven rätt för staden att omhändertaga vården av sitt folkskoleväsende. Stadsfullmäktige hava också ansett sig hava rätt att när som helst uppsäga gemenskapen med stiftelsen och ingå till Kungl. Maj:t med begäran om godkännande av en sådan uppsägning. Vi hava också levat i den fasta förvissningen, att en sådan anhållan skulle av Kungl. Maj:t bifallas. Tvenne framställningar, kan man säga, hava under sådana förutsättningar blivit ingivna till Kungl. Maj:t. Hur självklar staden ansåg rätten</w:t>
        <w:br/>
        <w:br/>
        <w:t>vara att själv få övertaga vården av folkskoleväsendet, framgår därav, att vi i vår första framställning, som också är av herr statsrådet omnämnd, blott begärde att få övertaga folkskoleväsendet under meddelande tillika visserligen, att vi senare skulle inkomma med utredning om, vilken egendom som fortfarande borde tillhöra stiftelsen och vilken egendom, som borde tillkomma staden. Vi insände vår första framställning så tidigt, d. v. s. innan utredningen ännu var färdig, därför att vi voro angelägna om att få en hel del frågor snarast möjligt bragta till sin lösning, frågor, som. vi helst ville, att stadsfullmäktige skulle taga hand om och icke kyrkostämman. Såsom tidigare omnämnts av herr statsrådet, blev denna framställning icke prövad av Kungl. Maj:t, utan de myndigheter, som hade hörts i ärendet, hade dessförinnan avstyrkt, att en sådan prövning skulle äga rum, innan utredningen bifogats framställningen. I slutet av år 1922 insändes denna utredning.</w:t>
        <w:br/>
        <w:br/>
        <w:t>Då här av herr statsrådet och även från annat håll framställts anmärkningar mot den bristfälliga juridiska utredning, som förelåg, vill jag omnämna, att man från stadsfullmäktiges sida ständigt varit av den uppfattningen, att man skulle bringa till stånd en den fullständigaste juridiska utredning, som det överhuvud taget vore möjligt att åstadkomma. Då ärendet första gången var före hos drätselkammaren, anmodades därför stadens ombudsman, en, såsom vi allmänt hålla före, synnerligen skicklig jurist, att verkställa en juridisk-historisk utredning. och han tog även arbetet om hand. Men detta visade sig emellertid vara av så vidlyftig art, att hans tid icke räckte till därför, varför han avsade sig upprdraget. På grund härav kom utredningen att läggas i händerna på förre rådmannen Herdin. Hans utredning var slutförd i början av år 1921, och därefter remitterades denna utredning till skoldirektionen, som tidigare fått även motionen. Skoldirektionen har därefter inkommit till stadsfullmäktige med yttrande över såväl motionen som utredningen, och, som den föregående talaren omnämnde. hade direktionen icke något att erinra mot bifall till den väckta motionen, dock med det förbehåll, att direktionen med oförändrad sammansättning skulle förbliva i förvaltningen av den egendom, som tillhör Prins Gustafs folkskola såsom stiftelse. I den delen är det fullständigt riktigt, vad den föregående talaren omnämnde, men han omnämnde icke ett senare moment, som även finns i direktionens beslut, i vilket direktionen hemställt om att stadsfullmäktige måtte utse tre personer att — jämte tre personer, vilka direktionen ville utse — verkställa utredning av frågan om vilken egendom som borde anses tillkomma Prins Gustafs folkskola såsom stiftelse. Det var med anledning av detta sista moment som stadsfullmäktige även beslöto, att utredningen skulle omfatta den egendom, som efter en skilsmässa borde anses tillhöra Prins Gustafs folkskola såsom stiftelse. Vid tillsättandet av denna kommitté voro vi även synnerligen angelägna om, att de juridiska synpunkterna vid denna kommittés arbete skulle komma till sin fulla rätt, framför allt därför att vid det förberedande arbete, som verkställts av stadens ombudsman och även av förre rådmannen Herdin, det stod fullkomligt klart för drätselkammaren och stadsfullmäktige, att dessa voro svårast att komma till rätta med i själva utredningsarbetet. Kommitténs sammansättning blev från vardera korporationen en jurist, en skolman och en lekman. Under kommitténs arbete kan jag med bestämdhet säga, att det huvudsakligaste arbetet kom att just omfatta de juridiska synpunkterna och mindre de övriga, men det visade sig efter en tids arbete, att det var omöjligt att komma till rätta med de tillkrånglade bestämmelserna med avseende å donationerna. Och det var särskilt med hänsyn till att donationerna i räkenskaperna sammanförts på ett sådant sätt, att det var omöjligt att skilja dem åt, som man med avseende å utredningens resultat måste komma till den slutsatsen, att frågan mera borde ses såsom en lämplighetsfråga än ur rent juridiska synpunkter.</w:t>
        <w:br/>
        <w:br/>
        <w:t>När resultatet av denna utredning framlades, kan man säga att såväl inom</w:t>
        <w:br/>
        <w:br/>
        <w:t>stadsfullmäktige som inom skoldirektionen belåtenheten var allmän med det re- Ang. sultat, vartill kommittén framkommit. Emellertid voro besluten icke fullstänfrågasatt oms digt enhälliga i båda korporationerna; i såväl stadsfullmäktige som i skoldirektioäv folkakolenen förekom en reservation. I skoldirektionen var reservanten den fungerande = väsendet ordföranden, landshövdingen. Närmast tyckes det, som om han, tvärt emot den ? Uppsala. allmänna meningen, håller före att skilsmässan icke är en given sak. Visserligen (Forts) säges icke detta klart ut i reservationen, men man kan av ordalydelsen sluta sig därtill. Tydligen har dock icke ett avstyrkande kunnat ske endast på ett sådant påstående, utan reservanten har yrkat, att direktionen, som begärt yttrande, skulle anföra, att den icke funnit den förebragta utredningen tillfyllestgörande. Om ordföranden i skoldirektionen varit övertygad om, att en mera tillfredsställande utredning varit möjlig, och pekat på någon uppenbar brist i den föreliggande, som kunde vid en förnyad utredning fyllas, då hade yrkandet varit förståeligt och även värt att tagas all möjlig hänsyn till. Men detta kunde man icke göra, anser jag, efter vad som yrkades av honom vid detta tillfälle.</w:t>
        <w:br/>
        <w:br/>
        <w:t>Emellertid har dock Kungl. Maj:t stött sig just på detta yttrande, och därför hava vi även i Uppsala kommit till samma resultat, som konstitutionsutskottet kommit till, nämligen att med stöd av detta finns det faktiskt ingen möjlighet att någonsin kunna få tillämpa lagen av år 1909 för Uppsala stad, likaväl som flertalet övriga städer här i landet.</w:t>
        <w:br/>
        <w:br/>
        <w:t>Vi hade, såsom jag nämnde, en hel del frågor, som vi ansågo vara synnerligen angelägna att få fram till en lösning av stadsfullmäktige och icke av kyrkostämman. Det är nämligen så, att bristen på skollokaler i Uppsala är synnerligen stor. Vi måste exempelvis hyra in oss med ett par klasser 1 en templarlokal i utkanten av staden och hysa in åtskilliga klasser i ett gammalt tingshus. Vi hava dessutom dubblering av flertalet klasser i skolan. Att detta medför synnerligen stora olägenheter ur såväl skolans som föräldrarnas synpunkt är ju klart. I hemmen måste man med anledning härav vid middagen ställa i ordning måltider vid tre särskilda tillfällen för familjemedlemmarna, en gång för ett barn, en annan gång för ett annat och en tredje gång för familjefadern, och detta i dessa tider, då man strävar efter gemensamma måltidstimmar. Vi ha även en skola, som är synnerligen bristfällig och som är färdig att när som helst rasa. För åtskilliga år sedan hade wi ritningar färdiga för byggande av ett nytt skolhus i dettas ställe och för att få bristen på skollokaler i övrigt täckt. Beslutet om byggandet av detta skolhus vilja vi emellertid icke överlämna till kyrkostämman, utan stadsfullmäktige vilja helst omhändertaga denna sak. Säkerligen kommer heller ingenting att åtgöras, förr än den dag kommit, då stadsfullmäktige fått skolans angelägenheter under sin förvaltning. Jag kan säga, att icke endast jag för min egen del utan säkerligen flertalet av dem, som biträtt stadsfullmäktiges beslut, hälsat konstitutionsutskottets anmärkning mot regeringens förfaringssätt i detta ärende med tillfredsställelse. Vi ha nämligen ansett, att så länge det föregående beslutet fanns kvar, var det omöjligt att hos den nuvarande regeringen kunna få någon ändring, med mindre vi, som här framhållits, skulle framkomma med en annorlunda beskaffad utredning. Detta voro vi icke i stånd att göra, Det hade ju också kunnat hända, att detta Kungl. Maj:ts beslut kunnat anses bindande för en blivande regering, så att även den ansett att en annorlunda beskaffad utredning skulle förebringas, innan Uppsala stad kunde få den rätt, den begärt.</w:t>
        <w:br/>
        <w:br/>
        <w:t>Det framhölls av den föregående talaren, att konstitutionsutskottets utlåtande var behäftat med en hel del brister, som han trodde kommo av att vederbörande icke läst de handlingar, som förelågo i utskottet. Någonting dylikt kan emellertid med ännu större skäl sägas om reservanternas utlåtande, sedan man</w:t>
        <w:br/>
        <w:br/>
        <w:t>läst den reservation, som är bifogad konstitutionsutskottets memorial i denna punkt. Jag skall icke ingå på dess inledning, där det talas om »den otillräckliga utredning, som i ärendet förebragts i fråga om nämnda. stiftelses avskiljande i ekonomiskt avseende från skolväsendet». Detta är visserligen icke riktigt, enär vi hålla före, att utredningen i detta avseende kan betraktas som fullständig, men man kan givetvis i detta avseende komma till ett annat resultat än vad kommitterade kommit till. Dessa ha mera fäst sig vid ändamålet för donationerna och mindre vid deras form. Jag tror för min del, att även om så skulle vara, att Kungl. Maj:t fäste sig mera vid formen än vid ändamålet för donationerna, hade det funnits möjlighet för Kungl. Maj:t att med ledning av den föreliggande utredningen kunna se, vad som bör tillhöra direktionen, och vad som bör falla till Uppsala stad. Men jag är också övertygad om, att varken staden själv eller direktionen eller någon annan blivit glad åt ett sådant seende till formen. Ty därigenom skulle den gamla direktionen fortfarande fått stå kvar såsom direktion för en skola, som, om den nu blivit av 1784 års typ eller av 1829 års — det skall jag låta vara osagt — i alla fall varit fullkomligt otidsenlig och som det icke kunde vara någon glädje med att själv få förvalta. Uppsala stad kan övertaga verksamheten i övrigt och nöjaktigt sköta den, men knappast kan skoldirektionen handhava en skola med den del den finge kvar.</w:t>
        <w:br/>
        <w:br/>
        <w:t>I slutet av sid. 11 i reservationen framhålles följande: »Det vill sålunda synas som om allt vad i fastigheter och fonderade medel tillhört skolan före år 1842 under alla omständigheter bort i förslaget till fördelning av egendomen emellan stiftelsen och staden hava bibehållits såsom stiftelsens egendom. Någon utredning härutinnan har emellertid icke skett.&gt; Kommitterade ha emellertid verkställt en sådan utredning, och de ha också sagt vad av den egendom, som tillkommit före 1842, som borde tillhöra stiftelsen och vad som borde tillföras staden. Det är visserligen sant, som här förut framhållits, att det belopp, som skulle tillhöra stiftelsen, är en mindre del, men vi ha varit fullkomligt ense, såväl stadsfullmäktiges som direktionens kommitterade, att detta var det lämpligaste sättet att fördela egendomen.</w:t>
        <w:br/>
        <w:br/>
        <w:t xml:space="preserve">Sedan säga reservanterna: »Av de hörda myndigheterna har också länsstyrelsen — med instämmande uti ett av landshövdingen Hammarskjöld såsom ordförande i skolans direktion avgivet yttrande — funnit det egendomligt, att stiftelsen enligt den föreslagna fördelningen syntes frånkännas all den egendom, som före år 1842 tillhörde densamma», och därefter, sammanfogat i samma sats: »med undantag allenast av den s. k. von Kiässellska fonden.» Nu är det på det sättet, att vi visst icke gjort så, som här sagts. Vi ha tillerkänt stiftelsen bl. a. </w:t>
      </w:r>
      <w:r>
        <w:rPr>
          <w:b/>
        </w:rPr>
        <w:t>Prinsessan³</w:t>
      </w:r>
      <w:r>
        <w:rPr>
          <w:b w:val="0"/>
        </w:rPr>
        <w:t xml:space="preserve"> Eugenias fond, som tillkom före 1842, och den s. k. allmänna fonden, i vilka medel ingå, som tillkommit såväl före som efter 1842. Och den von Kissellska fonden har icke, som reservanterna här säga, tillhört stiftelsen före år 1842, utan det är en fond, som tillkommit därefter, eller närmare bestämt 1845! Reservanterna måste sålunda icke ha läst alla de handlingar, som förelegat för konstitutionsutskottet. Åtminstone ha de läst dem sämre, än konstitutionsutskottets majoritet synes ha gjort, ty de ha läst dem alldeles felaktigt.</w:t>
      </w:r>
    </w:p>
    <w:p>
      <w:pPr>
        <w:pStyle w:val="Heading2"/>
      </w:pPr>
      <w:r>
        <w:t>2. Ernst Lyberg (Liberala samlingspartiet, man)</w:t>
      </w:r>
    </w:p>
    <w:p>
      <w:r>
        <w:rPr>
          <w:b w:val="0"/>
        </w:rPr>
        <w:t>Den förste ärade talaren på upplandsbänken herr Hammarskjöld antydde — om jag inte missförstod honom — att utskottet icke givit en riktig bild av vad som förekommit under detta ärendes behandling inför Kungl. Maj:t och av de myndigheter, som yttrat sig i ärendet; och han syntes vilja belysa detta genom att påvisa, att rådman Herdin i sin utredning, som dock enligt herr statsrådets mening just inte skulle vara så värdefull utan tvärtom mycket ofullständig uttalat såsom sin subjektiva uppfattning, att,</w:t>
        <w:br/>
        <w:br/>
        <w:t>även om praktiska skäl talade för, att förvaltningen av skolväsendet skulle .. . Ang. flyttas från den kyrkliga till den borgerliga kommunen, detta dock icke vore Urggasait omr nödvändigt, samt att Herdin i detta sammanhang givit den gamla skoldirekäv folkskoletionen ett ganska vackert betyg. Uppriktigt sagt, jag vet inte vad detta utväsendet talande skulle haft att göra i utskottets utlåtande. Ty utskottet har inte alls ? Uppsala. velat förringa direktionens för Prins Gustafs folkskolas verksamhet, och råd- = (Forts) man Herdins subjektiva uppfattning har över huvud taget mycket litet att</w:t>
        <w:br/>
        <w:br/>
        <w:t>göra med befogenheten av utskottets anmärkning.</w:t>
        <w:br/>
        <w:br/>
        <w:t>Det andra belägget för påståendet, att utskottet skulle ha varit för knapphändigt, var, tror jag, att utskottet icke omnämnt, att folkskolinspektören skulle ha givit ett ampelt vitsord åt det sätt, på vilket skoldirektionen förvaltat skolväsendet. Jag kan inte heller se, att detta har något att göra med den anmärkning, utskottet här framställt.</w:t>
        <w:br/>
        <w:br/>
        <w:t>Ty vad är kärnpunkten i denna anmärkning? Det är väl detta, som borde intressera kammaren, inte vad Kungl. Maj:t ansett vara kärnpunkten i det hela. Alla, som hittills här yttrat sig, åtminstone i det närmaste alla, ha gått förbi det avgörande, inte minst herr statsrådet. Vad utskottet ansett sig kunna konstatera och som ingen hittills, så vitt jag hört, velat bestrida, är, att vederbörande donatorers och de ursprungliga bidragsgivarnas syften nämligen att med de skänkta medlen främja skolundervisningen i Uppsala — skulle komma att tillgodoses åtminstone lika bra genom medlens förvaltning under numera lagstadgade former som genom deras handhavande enligt former, som icke de ursprungliga uppdragsgivarna föreskrivit, utan som föreskrivits av Kungl. Maj:t för snart hundra år sedan. Kärnpunkten i anmärkningen är, att det under sådana förhållanden synts utskottet vara orimligt att genom fasthängande vid dessa föråldrade föreskrifter tvinga staden att för att upprätthålla någorlunda enhetlighet i förvaltningen låta skolväsendet i Uppsala över huvud taget underkastas samma föråldrade föreskrifter. Att göra detta — trots stadens så gott som enhälligt uttalade önskan om att komma ifrån de -amla formerna, det är detta, utskottet ansett vara principiellt oriktigt och stridande mot stadens rätt och den kommunala självstyrelse beträffande folkskoleväsendet, som vi alla hålla på och som ju icke minst urgeras av en del av reservanterna. De vilja ju gärna, åtminstone i dessa tider, slå sig till riddare för den kommunala skolsjälvstyrelsen, och jag tror kanhända också herr ecklesiastikministern.</w:t>
        <w:br/>
        <w:br/>
        <w:t>Då säger man: Ja men utredningen har icke varit fullständig. TI vilket hänseende? Jo, påstår man, det har icke ådagalagts genom juridiskt bindande utredning att stiftelsen skulle få tillräckligt av tillgångarna enligt det förslag till uppdelning, som legat före. Herr statsrådet har varit inne på detta kapitel.</w:t>
        <w:br/>
        <w:br/>
        <w:t>Först kan man därtill svara: Ja, men om förhållandet är, som det sagts, att donatorernas syften att främja skolväsendet tillgodoses lika bra genom nu gällande lagstiftningsformer, vilka de ursprungliga bidragsgivarna icke kunnat drömma om, om stiftelsens intressen sammanfalla med skoldistriktets, vad har då denna uppdelningsfråga för praktisk betydelse! Nu har utskottet i det sammanhanget yttrat, och det tyckes herr ecklesiastikministern ha missförstått, att, om det är riktigt, vad en sådan rättslärd som landshövdingen i Uppsala säger, eller att en juridiskt tillfredsställande utredning i detta fall knappast står att åstadkomma, men Kungl. Maj:t anser, att sådan måste vara förutsättningen för bifall till vad stadsfullmäktige begärt, så betyder detta, att stadsfullmäktige i Uppsala enligt Kungl. Maj:ts mening aldrig kunna få sin vilja fram. Jag kan icke se annat än, att detta är ett fullkomligt logiskt resonemang av utskottet.</w:t>
        <w:br/>
        <w:br/>
        <w:t>Men om denna utredning var ofullständig. varför var det då så omöjligt för Kungl, Maj:t att få den kompletterad? Inom parentes vill jag påstå, att</w:t>
        <w:br/>
        <w:br/>
        <w:t>det är en av de mest fullständiga utredningar i en donationsfråga, man gärna kan tänka sig. Om jag inte misstar mig, omfattar utredningen eller rättare utredningarna, som röra både stiftelsens historia, och alla dess ekonomiska förhållanden, ungefär 30 tryckta kvartsidor. Men om den nu inte var full-</w:t>
        <w:br/>
        <w:br/>
        <w:t>ständig, om — såsom statsrådet erinrar — inte donationsbreven funnos med — de äro dock citerade, det ena efter det andra, i den mån det finns några donationsbrev — var det då så omöjligt för Kungl. Maj:t att kommunicera med</w:t>
        <w:br/>
        <w:br/>
        <w:t>länsstyrelsen i Uppsala och på det sättet införskaffa dem i officiellt vidimerade avskrifter? Eller om utredningen i övrigt var ofullständig, varför inte begära komplettering från sin befallningshavande, som icke blott besitter en ofantligt hög, grad av kapacitet utan också ett synnerligen livligt intresse för denna sak?</w:t>
        <w:br/>
        <w:br/>
        <w:t xml:space="preserve">Sannerligen jag förstår, varför det varit så angeläget för herr statsrådet att under de förhållanden, som här föreligga hålla fast vid de gamla stadgarna såsom så värdefulla för stiftelsen och därmed skjuta åt sidan stadens rätt, då icke donatorernas syften rimligen genom ett tillmötesgående kunde i realiteten åsidosättas. Det kan väl inte gärna ha varit på grund av bestämmelsen om direktionens sammansättning. Det är inte bara så, att fyra ledamöter äro självskrivna: ärkebiskopen, landshövdingen, domprosten och borgmästaren, utan det är väl också i viss mån en självskrivenhet, att dessutom två av ledamöterna skola vara medlemmar av akademistaten, att en skall vara rådman och att två eller tre skola utses av borgerskapets äldste, under det att samma två väljas av kyrkostämman. Är det denna gamla autokratiska styrelseform, över vilken ecklesiastikministern velat hålla sin skyddande hand och de två representanterna på Upplandsbänken, herrar Hammarskjöld och Reuterskiöld, sina sköldar? Eller är det stadgandet, att läraren skall ovillkorligen vara präst och ha betyg i »växelundervisning», eller stadgandet, att </w:t>
      </w:r>
      <w:r>
        <w:rPr>
          <w:b/>
        </w:rPr>
        <w:t>lärarinnan³</w:t>
      </w:r>
      <w:r>
        <w:rPr>
          <w:b w:val="0"/>
        </w:rPr>
        <w:t xml:space="preserve"> skall vara skicklig i </w:t>
      </w:r>
      <w:r>
        <w:rPr>
          <w:b/>
        </w:rPr>
        <w:t>fruntimmersarbeten²</w:t>
      </w:r>
      <w:r>
        <w:rPr>
          <w:b w:val="0"/>
        </w:rPr>
        <w:t xml:space="preserve"> och dessutom ha hand om eldningen och städningen av skolans lokaler, eller kanske stadgandet att kantorn skall »förestå gymnastiken»? Jag tycker sannerligen, att dessa visserligen mycket vördnadsbjudande gengångare, men i alla fall gengångare från en gammal tid nu kunnat få gå till evig 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