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1652</w:t>
      </w:r>
    </w:p>
    <w:p>
      <w:r>
        <w:rPr>
          <w:b/>
        </w:rPr>
        <w:t xml:space="preserve">Datum: </w:t>
      </w:r>
      <w:r>
        <w:t>1925-03-05</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Per Pehrsson (Nationella framstegspartiet, man)</w:t>
      </w:r>
    </w:p>
    <w:p>
      <w:r>
        <w:rPr>
          <w:b w:val="0"/>
        </w:rPr>
        <w:t>Herr talman! Då jag är motionär i ämnet och då åtskilliga talare hava vänt sig direkt till mig, så hoppas jag att kammaren har tålamod med mig några ögonblick för några repliker.</w:t>
        <w:br/>
        <w:br/>
        <w:t>Herr statsrådet hade välviljan att bemöta mig och därvid sade han, att detta var sista återstoden av religionstvånget. Jag tror att detta yttrande, som sedan underströks av följande talare, nog i fortsättningen kommer att behöva tagas under närmare övervägande. Jag hoppas rent av, att religionsfrihetsfrågan kommer åter, ty den är icke löst, förrän frågan om fritt utträde utan uppgivande av annat trossamfund blivit löst. Därtill vill jag uttala än en gång min anslutning, liksom jag gjort det för ett par riksdagar sedan, då den frågan var uppe.</w:t>
        <w:br/>
        <w:br/>
        <w:t>Sedan var det ett ord, som herr statsrådet fällde, som jag ber att få lägga märke till. Det var ett felslut, som herr statsrådet tillät sig — Jag förmodar det var alldeles ofrivilligt. Han talade om, och det lät verkligen så, skall jag säga, slående, att här gällde det icke kyrkornas öppnande för den civila begravningen, utan här gällde det kyrkornas stängande. Nu får man nämligen, sade han, använda kyrkan därför, men genom det förslag som motionärerna gjort skulle kyrkorna stängas. Mina herrar, det är ett sådant felslut, som — herr statsrådet får väl läsa vad jag säger i protokollet — man 1i logiken brukar kalla för qvarternio terminorum, d. v. s. han har växlat om innebörden i premisserna. Det är nämligen så, att civilbegravningen, om man får kalla det så, som nu sker, förekommer endast, när det gäller främmande trossamfund, till exempel för den som</w:t>
        <w:br/>
        <w:br/>
        <w:t>föreliggande sammanhang mena med borgerlig begravning har icke funnits förut, och därför kan man icke säga, att skulle nu kyrkorna stängas för något, som de förut varit öppna för, då detta något icke har funnits förut. Jag bara vill nämna detta för att visa, att han icke tagit så djupt på saken, när han kommit med detta yttrande. Han talade vidare om onödig formalism, och herr Bengtsson i Norup sade, att man icke kunde göra en jämförelse med ett skriftligt intyg för en Amerikaresa eller för äktenskaps ingående. Herr talman, det är alldeles samma sak det är fråga om här: Ansvaret skall läggas över på dem det gäller, det skall stå en person bakom begäran om borgerlig begravning. Han sade, att det skulle i de små församlingarna bliva en onödig formalism, ja, må så vara men det är icke onödig formalism i de större, det har han själv medgivit. Och Jag vill för övrigt fråga: är det onödig formalism i de små församlingarna med de motsvarande intyg jag nyss nämnde, och har det på något sätt vållat svårighet? Jag bestrider detta, på grund av ingående kännedom i denna sak.</w:t>
        <w:br/>
        <w:br/>
        <w:t xml:space="preserve">Jag skall sedan be att med några ord få rikta mig till den ärade talare, som jag här har alldeles i min närhet, nämligen herr Mosesson. Då jag är alldeles övertygad om, att det var </w:t>
      </w:r>
      <w:r>
        <w:rPr>
          <w:b/>
        </w:rPr>
        <w:t>jungfrutalets²</w:t>
      </w:r>
      <w:r>
        <w:rPr>
          <w:b w:val="0"/>
        </w:rPr>
        <w:t xml:space="preserve"> spänning som gav prägeln åt hans yttrande, vill jag endast göra några välvilliga erinringar med anledning av vad han sade. Herr Mosesson har med berömmande ordalag talat om, att man i förevarande sak brutit mot gällande lag — det var visserligen kyrkogårdsnämnden i Stockholm som tagit lagen i egen hand utan både riksdag och kyrkomöte. För mig är detta en främmande åskådning, för mig ställer det sig så, att så länge lag finnes skall lag lydas. Land skall med lag byggas, och är det så, att man icke gillar lagen skall man försöka få den förbättrad och så bra som möjligt, men så länge lagen finnes skall man lyda den. Han sade rent av -— ehuru det kanske ändock icke var tanken — att det var riktigt att handla mot den nuvarande Jordfästningslagen, ty »lagen gick emot förnuftet». Ack, mina herrar, skola vi låta var och en med sitt lilla förnuft börja kritisera de lagar, som vi varje dag stifta i riksdagen och låta vars och ens förnuft avgöra, om vi skola lyda dem eller icke, då undrar jag, vart det tager vägen! Det leder till anarki! Jag är övertygad om, att den ärade talaren kommit att i misshugg fälla detta yttrande. Så talade han välvilliga ord även om de präster, som göra vad de anse vara sin plikt, och ansåg, att detta var ett bevis på både trohet och plikttrohet och nit, men berömde än mer dem som sätta sig över jordfästningslagens bestämmelser. Det är icke den synpunkt, som bör läggas på fullgörandet av lagens bestämmelser. Vi hysa en djup vördnad för ett ord av en gammal man, som icke är den ärade talaren obekant och som han säkert vördar liksom jag, en man som en gång sade: Varen all mänsklig ordning undergivna. Och i det svenska prästlöftet och för oss av gamla stammen, som avlagt prästed, heter det i denna prästed, att vi skola ställa oss gällande lag till efterrättelse. Inför detta löfte i min prästed blir det icke fråga om, huruvida mitt förnuft säger mig, att lagen icke är riktigt lämplig; jag söker göra mitt bästa även av en obehaglig situation, men min ed törs jag icke medvetet svika. Det vore gott, om den ärade talaren skulle vilja försöka förstå denna synpunkt, när det gäller prästmännen, som i det nuvarande läget fylla denna sin prästed efter bästa förstånd och följa gällande lag till dess den blir avskaffad. Att han nu icke förstår detta, det inser jag också av den berättelse han gav om någon tilldragelse i en församling icke långt från denna stad, där en prästman fordrat ett intyg eller att det skulle deklareras angående en avlidens vilja för att civil begravning skulle medgivas, och att, då han icke kunnat få detta, hade han vägrat och </w:t>
      </w:r>
      <w:r>
        <w:rPr>
          <w:b/>
        </w:rPr>
        <w:t>änkan²</w:t>
      </w:r>
      <w:r>
        <w:rPr>
          <w:b w:val="0"/>
        </w:rPr>
        <w:t xml:space="preserve"> hade nödgats foga sig och avstå därifrån, om Jag fattade talaren rätt. Kanske jag missuppfattade det, men Jag har icke kunnat höra annat än att det var så. Då vill jag säga: hela proceduren är olaglig; vad hade han — eller </w:t>
      </w:r>
      <w:r>
        <w:rPr>
          <w:b/>
        </w:rPr>
        <w:t>hon²</w:t>
      </w:r>
      <w:r>
        <w:rPr>
          <w:b w:val="0"/>
        </w:rPr>
        <w:t xml:space="preserve"> — för rätt att fordra, medgiva eller vägra en sådan</w:t>
        <w:br/>
        <w:br/>
        <w:t xml:space="preserve">begravning. Prästmannen i fråga kunde icke inverka i detta hänseende, ty han 0” ändring : kunde icke tillåta en sådan begravning, utan måste fullfölja den brukliga ordangåen de ningen. Förutsatt naturligtvis att </w:t>
      </w:r>
      <w:r>
        <w:rPr>
          <w:b/>
        </w:rPr>
        <w:t>hon²</w:t>
      </w:r>
      <w:r>
        <w:rPr>
          <w:b w:val="0"/>
        </w:rPr>
        <w:t xml:space="preserve"> icke föranstaltade om begravningen så, jordfästning. att han icke visste om den, då han naturligtvis skulle stått främmande för saken (Forts.) och icke heller kunnat drabbas av något som helst ansvar. Jag pekar på allt</w:t>
        <w:br/>
        <w:br/>
        <w:t>detta för att visa, huru utgångspunkten i den ärade talarens berättelse är all-</w:t>
        <w:br/>
        <w:br/>
        <w:t>deles oriktig. Med hänsyn till den synnerligen auktoritativa ställning som herr Mosesson intar i sitt samfund synes det mig vara av en viss vikt, att jag på-</w:t>
        <w:br/>
        <w:br/>
        <w:t>pekar, att det var en fullkomligt ny synpunkt som herr Mosesson framförde i</w:t>
        <w:br/>
        <w:br/>
        <w:t>denna debatt, som gick stick i stäv emot vad som yttrats såväl i motionerna som</w:t>
        <w:br/>
        <w:br/>
        <w:t>i den kungl. propositionen, av utskottet, och likaledes i sakkunnigas betänkande,</w:t>
        <w:br/>
        <w:br/>
        <w:t>som utskottet formulerat så: »Utskottet delar den i såväl propositionen som i motionerna uttalade uppfattningen, att den avlidnes önskan bör vara principiellt avgörande i fråga om formen för begravning.» Den ärade talaren argumenterade</w:t>
        <w:br/>
        <w:br/>
        <w:t>starkt för, att det är de som efterleva och som vårdat den döde och styra med begravningen, som böra bestämma om denna sak. Det är således en alldeles ny ståndpunkt i detta hänseende; det var visserligen en tanke däråt i herr Bengts-</w:t>
        <w:br/>
        <w:br/>
        <w:t>sons i Norup uttalande, men icke alls på detta klara, bestämda sätt, som här</w:t>
        <w:br/>
        <w:br/>
        <w:t>uttalats och varom jag här gjort en bestämd anteckning. Den ärade talaren</w:t>
        <w:br/>
        <w:br/>
        <w:t>gick även i ett annat hänseende emot såväl propositionen som motionerna, då han förklarade, att detta »utan gensägelse» som står i utskottets motivering och i motionens kläm icke kan vara riktigt: någon samfällighet i meningen ville han</w:t>
        <w:br/>
        <w:br/>
        <w:t>icke kräva. Han sade icke något om, hur man skulle handla, om någon av de efterlevande skulle kunna komma och säga: »jag lägger mig emot borgerlig begravning.» Men det har propositionen sagt, det har utskottet sagt i motive-</w:t>
        <w:br/>
        <w:br/>
        <w:t>ringen, herr statsrådet har sagt det, såvitt jag icke missuppfattade honom, här i</w:t>
        <w:br/>
        <w:br/>
        <w:t>dag. Därom råder ingen meningsskiljaktighet förut. Den gäller endast om uttrycket skulle skrivas in i lagtexten eller icke. Saken är klar. Det skulle medföra praktiska svårigheter; då vore vi återigen inne i detta erkänt olyckliga</w:t>
        <w:br/>
        <w:br/>
        <w:t>att prästen skulle nödgas ingå på en diskretionär prövning. Vem av dem är det</w:t>
        <w:br/>
        <w:br/>
        <w:t>som har rätt, den eller den, eller de båda mot de båda. Nu återigen vilja vi säga,</w:t>
        <w:br/>
        <w:br/>
        <w:t>att de efterlevande få överenskomma om detta bäst de vilja, ingen lägger sig i</w:t>
        <w:br/>
        <w:br/>
        <w:t>hur de göra upp saken. Får prästen bara papperet, där det står, att vederbö-</w:t>
        <w:br/>
        <w:br/>
        <w:t>rande vilja ha borgerlig begravning, har han endast att göra den formella pröv-</w:t>
        <w:br/>
        <w:br/>
        <w:t>ningen av anmälan och ingenting vidare. Vart skulle det ta vägen, om han skulle</w:t>
        <w:br/>
        <w:br/>
        <w:t>bliva skiljedomare i så grannlaga saker? Eller vem annan skulle i hast bliva det?</w:t>
        <w:br/>
        <w:br/>
        <w:t>Det är fullkomligt omöjligt att begära detta. Då vet jag ingen annan väg än</w:t>
        <w:br/>
        <w:br/>
        <w:t>den, som statsrådet anvisat i propositionen och vilken motionärerna och sedan reservanterna hava föreslagit skola ingå i lagtexten.</w:t>
        <w:br/>
        <w:br/>
        <w:t>Det var ännu något i dessa båda yttranden, och kanske icke minst i det sista av herr Bengtsson i Norup, vilket stod i mycket nära samstämmighet med herr Mosessons och som jag ber att få peka på. Herr Mosesson sade, att tillmötesgåendet har icke varit stort, och han exemplifierade detta. Herr Bengtsson i Norup sade även 1 sitt sista anförande, att han väntade sig större tillmötesgående. Mina herrar, jag ber att få peka på en sak. Ni ha hört röster här 1 dag, och ni skulle kunna få höra dem i tusendubbelt eko över landet, röster som säga, att det vi på andra sidan hava gått till mötes med, är oändligt mycket mera, än vad de egentligen någonsin velat vara med om att godkänna. Här ha vi andra, herr talman, varit med om att låta klockorna användas även vid en jordafärd, som alldeles icke sker i kristlig anda och mening. Och vi göra detta därför att vi anse, att när en människa föres till den sista vilan, så må det gärna få klinga ut över bygden. Vi må gärna låta klockornas mäktiga malm ljuda och, som Heidenstam i sin dikt vid Frödings begravning säger, sjunga sin sång till de dödas färd och påminna om livets och dödens</w:t>
        <w:br/>
        <w:br/>
        <w:t>boler med religiösa inskriptioner, som tala om evigheten, vilken det icke talas om vid en begravning, som icke vill hava något med kristendomen att göra.</w:t>
        <w:br/>
        <w:br/>
        <w:t>Det har av någon talare erinrats om egna begravningsplatser. Även den tanken har släppts; det är icke alls fråga om att förvägra begravningsplats ute på de invigda kyrkogårdarna, och de invigda begravningskapellen ställas till förfogande. Tala icke om brist på tillmötesgående! Men hava icke också de . på andra sidan, herr Bengtsson i Norup, rätt att vänta tillmötesgående mot sina synpunkter i denna fråga, då de säga: vi vilja icke, att prästen skall komma i det läget, att han skall bestämma, huruvida en kyrka skall öppnas för civil Jordfästning eller icke. Vi vilja icke ställa honom i det läget, och vi vilja icke under några omständigheter vara med om att öppna kyrkorna för ickekristliga jordfästningar. Herr Mosesson är, såvitt jag fattade rätt, den ende under denna debatt, som fullt klart och tydligt utan att darra på målet — och det sätter jag mycket stort värde på, ty klara toner äro alltid av betydelse — uttryckligen har sagt, att han icke förstår, varför icke »det svenska folket med sin höga kultur skall kunna vara med om att öppna sina kyrkor för en Jordfästning, som icke precis bär religiös prägel». Jag har citerat ordagrant. Ja, det där förstå nu icke vi som stå på motsatt sida; vi kunna icke se saken på det sättet. Och varför? Jo, därför att templet, fyllt av religiösa symboler, är själv en symbol av kristlig tro. Vi kunna förstå ärliga och allvarliga ord om förgängelse och död och sorg och saknad, men i kyrkan skall också höras ett ord om evighetshoppet. Det är något, som vi icke kunna utelämna vid en jordfästning. Vi anse, att kyrkan i motsatt fall bleve vanhelgad. Vi kunna icke vara med på detta, vi värja oss mot själva tanken på detta.</w:t>
        <w:br/>
        <w:br/>
        <w:t>Och till sist, låt mig säga ett ord till herr Hallén. Herr Hallén har i sin motivering, som jag i så gott som allting kan understryka, talat om huru denna fråga i själva verket icke har så stora dimensioner, när det kommer till praktiken. Jag delar fullkomligt hans uppfattning härutinnan, men jag hade dock hoppats och väntat ända in i det sista, att dessa premisser, som sammanfalla så gott som helt och hållet med mina egna, skulle hava lett till ett yrkande om bifall till den reservation, som sammanfaller med yrkandet i hans egen motion i frågan, och för övrigt till den naturliga slutsats, som dessa premisser borde leda till. Vad herr Hallén yttrade ber jag att till mina högt ärade frireligiösa vänners betänkande ytterligare få betona. Och jag skulle väl kunna få knyta detta också till ett ord av herr Mosesson. Herr Mosesson talade om att det kunde komma att inträffa, att en högt ansedd man i en bygd, en som varit en kristen personlighet och en kyrkans vän, kunde komma att begära att få en jordfästning i kyrkan, som icke skulle ske i svenska kyrkans ordning. Jag är alldeles övertygad om, mina herrar, att så kan komma att inträffa. Men då frågar jag mig, om det icke är orimligt att tänka sig — och hela min erfarenhet säger, att det är så — att en kristen personlighet, en kyrkans vän och, som det sades, kanske rent av en prästens personlige vän, under sådana förhållanden skulle på något sätt känna sig besvärad av eller icke kunna finna sig i tanken, att prästen vid hans bår uttalade de fastställda bönerna, läste några bibelspråk och lät de tre skovlarna mull falla — en akt, vilken såsom en uråldrig begravningssed sträcker sig långt tillbaka på andra sidan kristendomen. Jag kan icke tänka mig, att det kan vara mycket svårt för någon att förlika sig med att detta skedde genom prästen, utan att den saken då på det sätt herr Hallén antydde lätt och utan svårighet skulle kunna ordnas. I annat fall skulle det ju innebära en direkt demonstration, antingen mot den kyrka, i vars hem, i vars tempel, man begär att få förrätta akten, eller mot den person, som skulle förrätta den. I bägge fallen vore det väl olämpligt att låta det bli någonting av demonstration i en akt, om vilken alla anse, att vid</w:t>
        <w:br/>
        <w:br/>
        <w:t>den bör det i alla fall vara så mycket av helgd och stillhet som möjligt. Jag Om ändring i förstår, att man kan ogilla prästen. Men det är en gammal synpunkt sedan an Augustini dagar, att därmed försvagas icke de ord, han har att säga. Om jordfästning. det också vore en nog så skröplig präst, som läste de evighetsmättade orden, ” (Forts.) skulle jag vilja fråga med Runeberg: »Skulle icke då Vår Herre kunna spela</w:t>
        <w:br/>
        <w:br/>
        <w:t>en vacker melodi på en sprucken fiol?»</w:t>
      </w:r>
    </w:p>
    <w:p>
      <w:pPr>
        <w:pStyle w:val="Heading2"/>
      </w:pPr>
      <w:r>
        <w:t>2. Felix Hamrin (Folkpartiet, man)</w:t>
      </w:r>
    </w:p>
    <w:p>
      <w:r>
        <w:rPr>
          <w:b w:val="0"/>
        </w:rPr>
        <w:t>Herr talman! Det är alldeles uppenbart, att beslutet kommer att ske enligt utskottets förslag i denna fråga, och därför kunde det kanske vara onödigt att säga någonting mera. Men det finns två skäl, som göra, att jag tillåtit mig behålla ordet, då jag efter begäran därom blivit uppförd på talmannens lista. Och därtill kommer ytterligare ett genom det anförande, som nyss hållits av herr Pehrsson i Göteborg. Jag vill i anledning av detta säga, att hela denna debatt har ju från början rört sig i försonlighetens tecken. Men herr Pehrsson i Göteborg har, vågar jag påstå, dragit ned debatten på ett plan, dit man verkligen icke hade behövt föra densamma, och uppträtt på ett sätt, som tydligt markerar den överhöghetsställning, som en del av statskyrkans präster tillåta sig intaga mot andra, som hysa andra meningar rörande religiösa spörsmål. Jag tror, att herr Pehrsson i Göteborg skulle gjort den ståndpunkt han försvarar en god tjänst genom att icke draga ned debatten på detta sätt.</w:t>
        <w:br/>
        <w:br/>
        <w:t>Ett av de båda andra skäl jag haft för att begära ordet är det, att frågan icke är avgjord i och med det att riksdagen fattat sitt beslut. Densamma kommer som här redan blivit påpekat, att behandlas även av kyrkomötet, varför det från den synpunkten kan vara lämpligt, att frågan skärskådas från så många utgångspunkter som möjligt, och att man söker klarlägga de olika ståndpunkterna från olika sidor.</w:t>
        <w:br/>
        <w:br/>
        <w:t>Det förefaller mig, herr talman, som om hela denna debatt kommit att röra sig på ett plan från statskyrklig synpunkt sett, där den i själva verket icke hör hemma. Jag menar, att när vi ha en statskyrka, så får man icke utgå ifrån de synpunkter, som här blivit anlagda från herr Pehrssons i Göteborg sida. Han talade i sitt första anförande om att vi hava rätt att kräva samvetsfrihet, d. v. s. prästerna hava också rätt att kräva sådan. Naturligvis hava de det. Herr Pehrsson i Göteborg exemplifierade i sitt sista anförande det tillmötesgående, som man från det hållet visade andra grupper i samhället, genom att påpeka, att »vi» låta klockorna ljuda. Ja men, mina herrar, vilka äro dessa »vi», som låta klockorna ljuda och som kräva samvetsfrihet? Såvitt jag förstår, måste man sätta likhetstecken mellan statskyrkan och samhället. Det är statskyrkans plikt och skyldighet att tillvarataga och tillgodose alla medborgares intressen. Det är vi medborgare, som tillsammans utgöra statskyrkan, och statskyrkan måste väl bli en medborgarnas tjänare, som icke upphäver sig till någon överhöghet över samhällets och medborgarnas intressen. Jag tror, att om man utgår från denna för mig alldeles solklara uppfattning, så kommer frågan att ligga i viss mån på ett annat plan. Det är från denna synpunkt som jag också tycker, att det är fullkomligt orimligt att gå in på en sådan formulering av $ 3, som här av herr Hederstierna m. fl. blivit föreslagen i reservationen. Det kan ju förekomma ett sådant fall — och jag vill säga till herr Pehrsson i Göteborg, att jag är övertygad om att sådana fall komma att föreligga i ganska stort antal nere i mitt län — att en framstående kommunalman, som tillika är ordförande i låt mig säga socknens missionsförening, är död och skall begravas. Det är alldeles självfallet, att en sådan högtidlig akt skall försiggå i kyrkan, om sådant begäres, och där jordfästningen kommer att förrättas av församlingsföreståndaren i den frikyrkoförsamling, som den avlidne tillhört. Vad är naturligare, än att denne församlingsföreståndare förrättar denna jordfästning? Herr Hallén vänder på den saken. Han säger — inom parentes sagt var det</w:t>
        <w:br/>
        <w:br/>
        <w:t>Jag instinktivt — han säger: »Ja, men då kan man väl låta prästen förrätta</w:t>
        <w:br/>
        <w:br/>
        <w:t>jordfästning. Själva jordfästningen, och sedan få de andra personerna komma efteråt.» Men</w:t>
        <w:br/>
        <w:br/>
        <w:t>det är där samvetsfriheten sättes på prov, det är där, som denne man, som skall Jordfästas, haft sin ståndpunkt klar och vilken skall och bör respekteras. Han har hela sitt liv tillhört frikyrkoförsamlingen, han har varit god vän med prästen och icke haft något otalt med honom, men hans uppfattning i religiösa spörsmål, i den mån dessa taga definierbara former bland oss människor, är delvis en annan än prästens. Det är församlingsföreståndaren, som varit den avlidnes själasörjare, hans kyrkoherde. Det är alldeles uppenbart, att frikyrkoförsamlingens föreståndare skall förrätta jordfästningen. Jag vänder därför på saken och säger, att sedan detta skett må kyrkoherden framträda och lika väl som alla andra, som vid ett sådant tillfälle ha något att säga, säger vad han har anledning till och finner lämpligt.</w:t>
        <w:br/>
        <w:br/>
        <w:t xml:space="preserve">Vidare skulle jag vilja framhålla i anslutning till vad herr Hallén sade, och instämma i vad han gav uttryck åt, då han frågade, varför skall man måla upp dessa mörka tavlor — jag höll på att säga hemska bilder — i samband med en jordfästning, och varför skall man säga, att dylikt kan väntas. Jag kommer ihåg, hur en prästman berättade för mig, att han en gång fick besök av en arbetare, som tillhörde den socialdemokratiska fackföreningen på platsen och var en framstående medlem därav. Arbetaren sade: »Pastorn skall komma till mitt hem. Min </w:t>
      </w:r>
      <w:r>
        <w:rPr>
          <w:b/>
        </w:rPr>
        <w:t>hustru²</w:t>
      </w:r>
      <w:r>
        <w:rPr>
          <w:b w:val="0"/>
        </w:rPr>
        <w:t xml:space="preserve"> är död, och pastorn skall läsa något vid kistan, innan </w:t>
      </w:r>
      <w:r>
        <w:rPr>
          <w:b/>
        </w:rPr>
        <w:t>hon²</w:t>
      </w:r>
      <w:r>
        <w:rPr>
          <w:b w:val="0"/>
        </w:rPr>
        <w:t xml:space="preserve"> bäres ut från hemmet, och sedan förrätta jordfästningen vid graven. Ty», sade han, »jag har visserligen icke brytt mig om religiösa frågor och sällan gått i kyrkan eller i andra gudstjänstlokaler — jag är i politiskt hänseende socialdemokrat — men min </w:t>
      </w:r>
      <w:r>
        <w:rPr>
          <w:b/>
        </w:rPr>
        <w:t>hustru²</w:t>
      </w:r>
      <w:r>
        <w:rPr>
          <w:b w:val="0"/>
        </w:rPr>
        <w:t xml:space="preserve"> skall icke begravas som en hund.&gt; Jag tror, att det ligger icke litet utan mycket i detta. Jag tror, att vårt folks religlösa känslor äro så allmänt utbredda, att man icke behöver befara några uppträden vare sig i kyrkorna eller vid de öppna gravarna. Det är möjligt, att vi få se några främmande syner, liksom vi för några dagar sedan fingo se en sådan, när de röda standaren ställdes upp ikring en framstående mans stoft. Men skulle icke flera av oss känt oss överraskade vid det tillfället, om de icke varit? Nu ansågo vi detta helt naturligt. Så menar jag också, att vi i framtiden, sedan denna lag trätt i kraft, visserligen kunna få se något andra syner i kyrkan och kring gravarna. Men jag tror icke, att någon behöver befara, att dessa skola bli skrämmande eller främmande för nutidens människor.</w:t>
        <w:br/>
        <w:br/>
        <w:t xml:space="preserve">Jag sade, att om man bara fasthåller vid den ståndpunkten att statskyrkan är medborgarnas tjänare — eller </w:t>
      </w:r>
      <w:r>
        <w:rPr>
          <w:b/>
        </w:rPr>
        <w:t>tjänarinna³</w:t>
      </w:r>
      <w:r>
        <w:rPr>
          <w:b w:val="0"/>
        </w:rPr>
        <w:t>, vilket uttryck man vill använda — så har man den rätta utgångspunkten för hela den diskussion, som här föres. Och detta har för mig illustrerats på ett alldeles utomordentligt förträffligt sätt, då jag hörde herr statsrådet och chefen för justitiedepartementet här uppträda ett par gånger, under det att herr statsrådet och chefen för ecklesiastikdepartementet satt lugn och trygg på sin plats, precis som han skulle sagt: »Denna fråga angår icke mig.» Den är från samhällets synpunkt sett sådan, att det är justitieministern, som sköter densamma. Jag har icke sett efter men jag förmodar, att det blir justitieministern, som också kommer att framlägga den för kyrkomötet. Detta sakförhållande utgör en manifestation från medborgarnas sida, att det här är en samhällelig angelägenhet, här skola vi lämna frihet, här skola vi icke kränka någons samvete utan endast tillvarataga, vad god ordning och sed kräva, och se till, att icke något sådant, som väcker allmän anstöt eller förargelse, äger rum. Herr talman! TI den ifrågavarande punkten av $ 3 synes det mig alldeles omöjligt att gå in på något annat förslag av dem, som här föreligga, än det, som den kungliga propositionen innehåller.</w:t>
        <w:br/>
        <w:br/>
        <w:t>Beträffande $ 8 skall jag yttra mig mycket kortare. Här vill herr Pehrsson</w:t>
        <w:br/>
        <w:br/>
        <w:t>i Göteborg hava det så ordnat, att det endast blir en formell granskning. Man Om ändring i sticker bara ett papper i handen på prästmannen på pastorsexpeditionen, och lagen, sedan expedieras det hela. Den avlidne får den jordfästning, som de närmast jordfästning. anhöriga begära. Nej, herr Pehrsson i Göteborg, jag tror ej, att det kommer ” (Forts.) att försiggå på det sättet. Jag skall ta ett enda belysande exempel. Huru går det till, när de s. k. samvetsömma gå till prästmannen och begära ett lagligt intyg för att slippa värnpliktstjänstgöring? När man stiftat bekantskap med det ena fallet efter det andra på detta område, blir man nästan upprörd över det sätt, på vilket en del prästmän sätta sig till doms över andras samveten. Jag tror därför, att det kommer att inträffa mer än ett fall — ja fall efter fall — där prästmännen visserligen taga emot den handling, i vilken de anhöriga kräva, att jordfästning skall ske utan iakttagande av kyrkans ordning, men där de komma att säga: ja men är ni säker på, att den döde hade en sådan uppfattning, och är ni säker på att alla anhöriga utan gensägelse biträda ert krav? Och så kommer man att använda alla de möjligheter, som finnas, att pressa sin övertygelse på de efterlevande.</w:t>
        <w:br/>
        <w:br/>
        <w:t>Slutligen är det så, herr talman, som herr Mosesson riktigt anförde, att det för närvarande egentligen råder frihet att härvidlag förfara hur man vill. Jag var en gång med om en jordfästning i Göteborg, som var en av de mest högtidliga jag i mitt liv bevistat men som strängt taget inte var en jordfästning i vanlig mening — om det nämligen med jordfästning menas en sådan, där man använder de tre skovlarna mull. Så kan det gå till för närvarande, men nu skola vi antaga en lag, som reglerar den praxis som utvecklat sig. Jag är för övrigt viss om att denna praxis eljest skulle ha blivit sådan, att ett fullkomligt kaos uppkommit. Vi vilja alltså ha en lag, som stadfäster de olika formerna. Man bör säga ifrån, vad som menas med en begravning i statskyrkans ordning, och man skall bestämma, under vilka förhållanden och på vad sätt en annan ordning skall kunna tillämpas. Jag föreställer mig, att när man antager en lag sådan som denna, är det nödvändigt att se till, att den blir formulerad på det sätt, att den uppväcker så liten friktion som möjligt mellan statskyrkans prästmän och allmänheten.</w:t>
        <w:br/>
        <w:br/>
        <w:t>Herr talman! När jag år 1912 såsom nybakad riksdagsman gjorde mitt inträde i kammaren, gällde en av de första motioner, jag väckte, föreliggande fråga. Sedan jag väckt den motionen, kom en gammal farbroderlig ledamot av denna kammare — han står här i samlingen framför mig — och klappade mig på axeln och sade, att samma fråga intresserat honom under loppet av många år, men »det är möjligt», tillade han ironiskt, »att de nya kvastarna sopa bättre än de gamla». Nå väl, lagutskottet tillstyrkte motionen och andra kammaren antog förslaget, under det första kammaren avslog det. Det är intressant att se, att utvecklingen går framåt, att gamla reformkrav, låt vara att de inte äro så stora, vinna terräng, och att människornas sinnen bli mer mottagliga för sakskäl. Det är därför, herr talman, med den största tillfredsställelse, som jag yrkar bifall till lagutskottets förslag och därmed också till den kungl. propositionen.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1652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