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1658</w:t>
      </w:r>
    </w:p>
    <w:p>
      <w:r>
        <w:rPr>
          <w:b/>
        </w:rPr>
        <w:t xml:space="preserve">Datum: </w:t>
      </w:r>
      <w:r>
        <w:t>1925-04-20</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Harald Hallen (Socialdemokraterna, man)</w:t>
      </w:r>
    </w:p>
    <w:p>
      <w:r>
        <w:rPr>
          <w:b w:val="0"/>
        </w:rPr>
        <w:t xml:space="preserve">Herr talman! Jag är av samma uppfattning som den föregående ärade talaren, att rent organisatoriska frågor av mera detaljerad art, som gälla vårt skolväsen, lämpligen icke böra behandlas här i kammaren. Jag skulle emellertid vilja stryka under en synpunkt, som jag tyckte mig höra, att herr Rydén också var inne på. Det sägs i såväl utskottets betänkande som 1 propositionen, att rätten att inskränka fortsättningsskolan från två till ett år skall få användas endast när man har ett sjunde obligatoriskt år i folkskolan. För att förebygga framtida missförstånd skulle jag vilja framhålla en sak, som jag vore särskilt tacksam för, om herr statsrådet ville behjärta. En så kallad BITI-skola, d. v. s. en skola, där läraren samtidigt undervisar fyra klasser, har i regel till underlag en småskola av litt. BIT, där en </w:t>
      </w:r>
      <w:r>
        <w:rPr>
          <w:b/>
        </w:rPr>
        <w:t>lärarinna³</w:t>
      </w:r>
      <w:r>
        <w:rPr>
          <w:b w:val="0"/>
        </w:rPr>
        <w:t xml:space="preserve"> undervisar två klasser på en gång. I detta fall består hela skolan alltså av sex klasser, och det kan där icke bli fråga om att sänka undervisningstidena i fortsättningsskolan från två till ett år. Det händer dock ibland, att till underlag för denna folkskoleavdelning finns en halvtidsläsande småskola av litt. CII eller möjligen någon annan form, som ofta är delad på tre år, d. v. s. man läser endast fyra månader om året men i alla fall i tre år. Det skulle då kunna tänkas, att när man har en sådan halvtidsläsande småskola som underlag för en vanlig heltidsläsande folkskola, betraktar man detta, som om det funnes sju obligatoriska folkskoleår. Jag vill för min del icke gärna tro, att det är meningen, att det skall få tolkas så, utan att man i stället håller på den som jag tycker mera fortsättningsskolevänliga tolkningen, att man skall ha sju heltidsläsande år. Vi ha alltså tänkt oss, att denna lättnad, om man nu får kalla det så, i fortsättningsskoleplikten skall vara avsedd huvudsakligen för städer och sådana samhällen, där man har sju heltidsläsande läsår, och att det är där, som man under det sjunde läsåret söker inhämta det första fortsättningsskoleårets kurser och grunder.</w:t>
        <w:br/>
        <w:br/>
        <w:t>På samma gång jag har ordet, herr talman, skulle jag också vilja bekänna min varma anslutning till kravet från skolhåll på att man så litet som möjligt skall fingra eller rubba på den tvååriga fortsättningsskolan, utan att det moderata reformförslag, som herr statsrådet här på riksdagens initiativ har framlagt, också tills vidare måtte beteckna en paus i den riktningen. Det</w:t>
        <w:br/>
        <w:br/>
        <w:t>finns väl knappast något område, där undervisningen har så stor betydelse som Just när det gäller den fortsatta undervisningen. Jag går till och med så långt, att jag vågar påstå, att det i ganska mycket av den reaktion mot vårt skolväsen, som har gjort sig både talför och märkbar på senare år, kan finnas ett och annat berättigande. I den mån man skall behöva tala om lättnader och utjämningar, skulle det möjligen vara i vissa fall på det lägre undervisningsstadiet, under småskoletiden och i de lägsta folkskoleklasserna, och man kan därför ifrågasätta, om man icke där skulle kunna tillmötesgå skäliga lättnadskrav. Det bör därvid dock vara ett allmänt folkbildningsintresse, att man slår så enhälligt vakt som möjligt just om den fortsatta undervisningen och därvid speciellt om den tvååriga fortsättningsskolan.</w:t>
      </w:r>
    </w:p>
    <w:p>
      <w:pPr>
        <w:pStyle w:val="Heading2"/>
      </w:pPr>
      <w:r>
        <w:t>2. Josef Weijne (Socialdemokraterna, man)</w:t>
      </w:r>
    </w:p>
    <w:p>
      <w:r>
        <w:rPr>
          <w:b w:val="0"/>
        </w:rPr>
        <w:t>Herr talman! Jag har ingalunda förbisett, att det är skolöverstyrelsen, som skall pröva saken i varje fall, och att skoldistrikten följaktligen icke få någon generell rätt att ordna en ettårig fortsättningsskola på den sjuklassiga folkskolan. Jag är dock ganska övertygad om, att man som regel överallt, där man har sjuårig folkskola, kommer att begära att få ordna fortsättningsskolan på endast ett år. Vad som föranledde mig att begära ordet var just erfarenheten från de lägre skolformerna, där jag fortfarande trots herr Rydéns anförande anser det i praktiken förenat med synnerligen stora svårigheter att meddela de kunskaper, som, man annars skall inhämta under det första fortsättningsskoleåret. Jag tror, att i en skola, där barnantalet är tämligen stort, och där det därför möter större svårigheter än om man hade ett mindre barnantal, kommer man att bliva ganska missbelåten, om skolöverstyrelsen säger, att hos er är barnantalet så stort, att det blir svårt att ordna saken; ni få behålla er tvååriga fortsättningsskola.</w:t>
        <w:br/>
        <w:br/>
        <w:t>Dessutom är det ju så, att man i samma skoldistrikt kan ha skolor med större och mindre barnantal, och då skulle ju det egendomliga kunna inträffa, att man kan arrangera ettårig fortsättningsskola i den ena skolan i distriktet, under det att man får nöja sig med att bibehålla den tvååriga fortsättningsskolan i en annan skola i samma distrikt.</w:t>
        <w:br/>
        <w:br/>
        <w:t>Det har just varit min erfarenhet som arbetare i de lägre skolformerna och 1 fortsättningsskolan, som har gjort, att jag har velat varna emot att bara säga, att det går att ordna undervisningen även i de lägre skolformerna. Det är förenat med så stora svårigheter, att det kan hända, att om man begär för mycket, kommer det att brista på ett sådant sätt, att resultatet i intet avseende blir vad det skulle bliva, om kraven hade varit något mera måttliga.</w:t>
      </w:r>
    </w:p>
    <w:p>
      <w:pPr>
        <w:pStyle w:val="Heading2"/>
      </w:pPr>
      <w:r>
        <w:t>3. Carl Wilhelm Oskar Höglund (Socialdemokraterna, man)</w:t>
      </w:r>
    </w:p>
    <w:p>
      <w:r>
        <w:rPr>
          <w:b w:val="0"/>
        </w:rPr>
        <w:t xml:space="preserve">Herr talman, mina damer och herrar! Jag har begärt ordet ett ögonblick för att i egenskap av reservant till äventyrs bidraga till att icke kammaren i hastigheten begår en uppenbar orättvisa. Av handlingarna framgår, att mannen till den </w:t>
      </w:r>
      <w:r>
        <w:rPr>
          <w:b/>
        </w:rPr>
        <w:t>änka²</w:t>
      </w:r>
      <w:r>
        <w:rPr>
          <w:b w:val="0"/>
        </w:rPr>
        <w:t xml:space="preserve">, för vilken här begäres pension, varit 1 statens tjänst från 1876 till 1915, alltså en tid av nära 40 år. </w:t>
      </w:r>
      <w:r>
        <w:rPr>
          <w:b/>
        </w:rPr>
        <w:t>Änkan²</w:t>
      </w:r>
      <w:r>
        <w:rPr>
          <w:b w:val="0"/>
        </w:rPr>
        <w:t xml:space="preserve"> är född år 1848 och alltså 76 år gammal. </w:t>
      </w:r>
      <w:r>
        <w:rPr>
          <w:b/>
        </w:rPr>
        <w:t>Hon²</w:t>
      </w:r>
      <w:r>
        <w:rPr>
          <w:b w:val="0"/>
        </w:rPr>
        <w:t xml:space="preserve"> är på grund av sin ålder samt sjuklighet oförmögen att försörja sig genom arbete. Dessutom är </w:t>
      </w:r>
      <w:r>
        <w:rPr>
          <w:b/>
        </w:rPr>
        <w:t>hon²</w:t>
      </w:r>
      <w:r>
        <w:rPr>
          <w:b w:val="0"/>
        </w:rPr>
        <w:t xml:space="preserve"> alldeles medellös och saknar anhöriga, som kunna hjälpa </w:t>
      </w:r>
      <w:r>
        <w:rPr>
          <w:b/>
        </w:rPr>
        <w:t>henne²</w:t>
      </w:r>
      <w:r>
        <w:rPr>
          <w:b w:val="0"/>
        </w:rPr>
        <w:t xml:space="preserve">. Under sådana förhållanden är det naturligt, att </w:t>
      </w:r>
      <w:r>
        <w:rPr>
          <w:b/>
        </w:rPr>
        <w:t>hon²</w:t>
      </w:r>
      <w:r>
        <w:rPr>
          <w:b w:val="0"/>
        </w:rPr>
        <w:t xml:space="preserve"> kan göra anspråk på ett understöd från staten. Detta överensstämmer också väl med de principer, som bruka tillämpas i liknande fall, och som av statskontoret i avgivet utlåtande formulerats på följande sätt: »Men för beviljande av understöd av nu ifrågavarande slag har dock alltid såsom förutsättning gällt, att särskilt ömmande cmständigheter kunna anses föreligga; och så har ansetts vara förhållandet, då </w:t>
      </w:r>
      <w:r>
        <w:rPr>
          <w:b/>
        </w:rPr>
        <w:t>änkan²</w:t>
      </w:r>
      <w:r>
        <w:rPr>
          <w:b w:val="0"/>
        </w:rPr>
        <w:t xml:space="preserve"> varit antingen till följd av hög ålder eller på grund av sjukdom oförmögen till arbete och tillika befunnits vara medellös och i saknad av anhöriga, som ansetts kunna och böra draga försorg om </w:t>
      </w:r>
      <w:r>
        <w:rPr>
          <w:b/>
        </w:rPr>
        <w:t>henne²</w:t>
      </w:r>
      <w:r>
        <w:rPr>
          <w:b w:val="0"/>
        </w:rPr>
        <w:t xml:space="preserve">», och statskontoret säger vidare: »Med tillämpning av dessa principer på de fall, om vilka förenämnda motioner handla, synes </w:t>
      </w:r>
      <w:r>
        <w:rPr>
          <w:b/>
        </w:rPr>
        <w:t>änkepension²</w:t>
      </w:r>
      <w:r>
        <w:rPr>
          <w:b w:val="0"/>
        </w:rPr>
        <w:t xml:space="preserve"> böra ifrågakomraa endast för den i motionen nr 161/1I omförmälda </w:t>
      </w:r>
      <w:r>
        <w:rPr>
          <w:b/>
        </w:rPr>
        <w:t>änkan²</w:t>
      </w:r>
      <w:r>
        <w:rPr>
          <w:b w:val="0"/>
        </w:rPr>
        <w:t xml:space="preserve"> Helena Jonasson, och synes mot det för </w:t>
      </w:r>
      <w:r>
        <w:rPr>
          <w:b/>
        </w:rPr>
        <w:t>henne²</w:t>
      </w:r>
      <w:r>
        <w:rPr>
          <w:b w:val="0"/>
        </w:rPr>
        <w:t xml:space="preserve"> föreslagna understödsbeloppet icke vara något att erinra.» ” /</w:t>
        <w:br/>
        <w:br/>
        <w:t xml:space="preserve">Utskottet har också på förslag av statskontoret tillstyrkt </w:t>
      </w:r>
      <w:r>
        <w:rPr>
          <w:b/>
        </w:rPr>
        <w:t>änkepension²</w:t>
      </w:r>
      <w:r>
        <w:rPr>
          <w:b w:val="0"/>
        </w:rPr>
        <w:t xml:space="preserve"> i detta fall, men avviker beträffande pensionsbeloppet från statskontorets förslag. Statskontoret har icke haft något att erinra mot de av motionären begärda 300 kronorna, men utskottet har sänkt beloppet till 200 kronor och därvid åberopat ett fall från 1924. I detta sistnämnda fall fanns det dock särskilda omständigheter, som kunde motivera ett lägre belopp, i det att den ifrågavarande </w:t>
      </w:r>
      <w:r>
        <w:rPr>
          <w:b/>
        </w:rPr>
        <w:t>änkan²</w:t>
      </w:r>
      <w:r>
        <w:rPr>
          <w:b w:val="0"/>
        </w:rPr>
        <w:t xml:space="preserve"> ägde en visserligen icke skuldfri fastighet, värderad till 6,000 kronor. I det nu föreliggande fallet är </w:t>
      </w:r>
      <w:r>
        <w:rPr>
          <w:b/>
        </w:rPr>
        <w:t>änkan²</w:t>
      </w:r>
      <w:r>
        <w:rPr>
          <w:b w:val="0"/>
        </w:rPr>
        <w:t xml:space="preserve"> däremot fullständigt medellös, och det vore därför</w:t>
        <w:br/>
        <w:br/>
        <w:t>naturligt att bevilja ett belopp av 300 kronor, vilket är det vanliga beloppet i liknande fall. Detta belopp har också i åtskilliga fall i det utlåtande, som följer närmast efter detta, nämligen i bankoutskottets utlåtande nr 31, p. 28, 30, 32, 34 och 35, tillstyrkts av utskottet på förslag av Kungl. Maj:t. Någon anledning att i detta fall sätta beloppet lägre finns icke. Man kan icke heller säga, att utredningen är sämre, därför att frågan kommit motionsvägen, ty utskottet har självt skaffat en fullständig utredning genom vederbörande myndigheter.</w:t>
        <w:br/>
        <w:br/>
        <w:t>Herr talman! På grund av vad jag här har anfört, ber jag att få yrka bifall till den vid denna punkt i utlåtandet fogade reservationen.</w:t>
        <w:br/>
        <w:br/>
        <w:t xml:space="preserve">Herr Törnkvist i Karlskrona. Herr talman! Då jag är den olycklige motionären i denna fråga, skall jag be att få säga några ord. Jag ber först att med tillfredsställelse få konstatera, att jag funnit, att denna </w:t>
      </w:r>
      <w:r>
        <w:rPr>
          <w:b/>
        </w:rPr>
        <w:t>änka²</w:t>
      </w:r>
      <w:r>
        <w:rPr>
          <w:b w:val="0"/>
        </w:rPr>
        <w:t xml:space="preserve"> lyckats klara alla de blindskär i fråga om en förmodad rätt till pension enligt gammal god iradition och regel, som bankoutskottet noga och med rätta övervakar. I själva principsaken har jag därför intet annat att uttala än min tacksamhet till bankoutskottet, men i fråga om pensionsbeloppets avvägning måste jag ställa mig frågande, vad bankoutskottet egentligen har följt för princip. Jag erinrar mig en debatt härom dagen, framkallad av herr Leo, där han efterlyste bankoutskottets principer i fråga om behandlingen av pensionsärenden. Bankoutskottets ordförande svarade då med att begära av motionärerna att tänka efter med vilka motioner de komma fram. Jag har synbarligen tänkt efter, vilken motion jag kommit fram med, ty den har ju vunnit principiellt godkännande. Jag kan ju nämna i förbigående, att jag fått mottaga två andra framställningar, som jag emellertid icke vågade föra fram, därför att änkorna voro under 50 år. Denna </w:t>
      </w:r>
      <w:r>
        <w:rPr>
          <w:b/>
        </w:rPr>
        <w:t>änka²</w:t>
      </w:r>
      <w:r>
        <w:rPr>
          <w:b w:val="0"/>
        </w:rPr>
        <w:t xml:space="preserve"> är emellertid 76 år gammal, och </w:t>
      </w:r>
      <w:r>
        <w:rPr>
          <w:b/>
        </w:rPr>
        <w:t>hennes²</w:t>
      </w:r>
      <w:r>
        <w:rPr>
          <w:b w:val="0"/>
        </w:rPr>
        <w:t xml:space="preserve"> man har varit i aktiv tjänst hos staten i 36 "/, år. Jag frågar mig då verkligen, om det kan finnas någon anledning, varför denna </w:t>
      </w:r>
      <w:r>
        <w:rPr>
          <w:b/>
        </w:rPr>
        <w:t>änka²</w:t>
      </w:r>
      <w:r>
        <w:rPr>
          <w:b w:val="0"/>
        </w:rPr>
        <w:t xml:space="preserve"> icke skall få mera än 200 kronor om året i pension, då det är vanligt här i riksdagen, att man, då man godkänner, att pension skall utgå, i regel sätter den till 300 kronor. Man åberopar visserligen här ett fall från fjolåret, där en </w:t>
      </w:r>
      <w:r>
        <w:rPr>
          <w:b/>
        </w:rPr>
        <w:t>änka²</w:t>
      </w:r>
      <w:r>
        <w:rPr>
          <w:b w:val="0"/>
        </w:rPr>
        <w:t xml:space="preserve"> bara fick 200 kronor, men det var, såvitt jag kan förstå, ett isolerat fall. Då kunde man åberopa ett visst förmögenhetsinnehav, men det kan man icke göra i detta fall. Därtill kommer vidare den omständigheten, att denna </w:t>
      </w:r>
      <w:r>
        <w:rPr>
          <w:b/>
        </w:rPr>
        <w:t>änka²</w:t>
      </w:r>
      <w:r>
        <w:rPr>
          <w:b w:val="0"/>
        </w:rPr>
        <w:t xml:space="preserve"> har en mycket hög ålder, och det kan ju tänkas, att pensionen icke kommer att behöva utgå så många år.</w:t>
        <w:br/>
        <w:br/>
        <w:t>Jag vill vidare göra kammaren uppmärksam på, att samma dag, som detta utlåtande delgavs kammaren, presenterade statsrådet och chefen för försvarsdepartementet en kungl. proposition nr 159, där han föreslår pensioner till änkor efter arbetare och förmän och konsekvent hela vägen igenom föreslår belopp på 300 kronor. Samma linje har också följts av kammaren i alla de fall, då änkor efter arbetare vid Karl Gustafs stads gevärsfaktori i Eskilstuna tillerkänts pension.</w:t>
        <w:br/>
        <w:br/>
        <w:t xml:space="preserve">Jag vill säga, att konsekvensen, mina damer och herrar, är att man följer reservanternas förslag att tilldela denna </w:t>
      </w:r>
      <w:r>
        <w:rPr>
          <w:b/>
        </w:rPr>
        <w:t>änka²</w:t>
      </w:r>
      <w:r>
        <w:rPr>
          <w:b w:val="0"/>
        </w:rPr>
        <w:t xml:space="preserve"> 300 kronor, men man bryter mot konsekvensen, och det finner jag vara orättfärdigt, då det gäller fattigt folk som här, om man följer sparsamhetens linje, som jag icke kan anse vara sparsamhet utan snålhet och obetänksamhet, och endast går på bankoutskottets förslag om 200 kronor. Det är detta, som jag vill ha sagt, herr talman. När man anser </w:t>
      </w:r>
      <w:r>
        <w:rPr>
          <w:b/>
        </w:rPr>
        <w:t>henne²</w:t>
      </w:r>
      <w:r>
        <w:rPr>
          <w:b w:val="0"/>
        </w:rPr>
        <w:t xml:space="preserve"> berättigad till pension efter gammal god tradition, bör man icke ge </w:t>
      </w:r>
      <w:r>
        <w:rPr>
          <w:b/>
        </w:rPr>
        <w:t>henne²</w:t>
      </w:r>
      <w:r>
        <w:rPr>
          <w:b w:val="0"/>
        </w:rPr>
        <w:t>, som snart är 80 år, mindre pension än man brukar ge, d. v. s. mindre än 300 kronor. Jag hemställer därför om, bifall till den vid denna punkt fogade reservationen.</w:t>
      </w:r>
    </w:p>
    <w:p>
      <w:pPr>
        <w:pStyle w:val="Heading2"/>
      </w:pPr>
      <w:r>
        <w:t>4. Oskar Kloo (Socialdemokraterna, man)</w:t>
      </w:r>
    </w:p>
    <w:p>
      <w:r>
        <w:rPr>
          <w:b w:val="0"/>
        </w:rPr>
        <w:t>Herr talman! Jag begärde ordet icke så mycket för att polemisera mot de bägge föregående talarna som fastmera för att icke herr Törnkvists</w:t>
        <w:br/>
        <w:br/>
        <w:t>yttrande skall inge kammaren den föreställningen, att de, som icke reserverat Är O. F.</w:t>
        <w:br/>
        <w:br/>
        <w:t>sig mot utskottets beslut, skulle ha begått en orättvisa. Herr Törnkvist nämnde, att riksdagen för några år sedan beviljat änkor efter arbetare vid Karl Gustafs stads gevärsfaktori en pension på 300 kronor årligen. Det har man nu ansett vara att gå en smula för långt. Man har icke, som herr Törnkvist sade, i regel beviljat alla änkor efter avlidna arbetare 300 kronor i pension, utan regeln har varit, att de fått 200 eller 240 kronor, och änkorna vid Karl Gustafs stads gevärsfaktori ha utgjort ett undantag.</w:t>
        <w:br/>
        <w:br/>
        <w:t>Dessa belopp, såväl å 200 som 300 kronor, låta ju ofantligt små, men de äro icke så små, som själva siffrorna tyckas ange, ty utom denna pension få de även fyllnadspension på 90 kronor, och så tillkommer dyrtidstillägg, uträknat som om pensionsbeloppet varit 30 kronor högre. I de flesta fall blir det därför dubbla eller mer än dubbla beloppet.</w:t>
        <w:br/>
        <w:br/>
        <w:t xml:space="preserve">Jag har emellertid för min del ingenting att säga mot ett belopp av 300 kronor i detta fall. Det har rått stor tvekan i utskottet, om man skulle ge denna </w:t>
      </w:r>
      <w:r>
        <w:rPr>
          <w:b/>
        </w:rPr>
        <w:t>änka²</w:t>
      </w:r>
      <w:r>
        <w:rPr>
          <w:b w:val="0"/>
        </w:rPr>
        <w:t xml:space="preserve"> 200 eller 300 kronor. För min del framställde jag intet yrkande i utskottet, men jag ansåg det vara riktigast att bevilja ett belopp av 240 kronor. Då man emellertid här lika gärna kan säga, att såväl den ene som den andre har rätt, och bankoutskottet och riksdagen ibland följt den ena och ibland den andra principen, skall jag, herr talman, icke framställa något annat yrkande än som gjorts av både herr Höglund och herr Törnkvist. Utgår man från den gamla goda regeln, att det är bättre att fria än fälla, är det bättre att ge denna </w:t>
      </w:r>
      <w:r>
        <w:rPr>
          <w:b/>
        </w:rPr>
        <w:t>änka²</w:t>
      </w:r>
      <w:r>
        <w:rPr>
          <w:b w:val="0"/>
        </w:rPr>
        <w:t xml:space="preserve"> 300 än 200 kronor, då denna skillnad å 100 kronor för </w:t>
      </w:r>
      <w:r>
        <w:rPr>
          <w:b/>
        </w:rPr>
        <w:t>henne²</w:t>
      </w:r>
      <w:r>
        <w:rPr>
          <w:b w:val="0"/>
        </w:rPr>
        <w:t xml:space="preserve"> naturligtvis betyder ofantligt mycket mera än för riksdagen. Vad beträffar faran för de principer, som ett sådant beslut skulle föra i sitt släptåg, ja, den faran har för länge sedan både bankoutskottet och riksdagen tagit på sig, ty man har så många gånger hoppat från den ena principen till den andra. Då alla här yrkat bifall till reservationen, behöver jag ju icke göra det, men jag kommer emellertid att rösta för ett belopp av 300 kronor.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