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1698</w:t>
      </w:r>
    </w:p>
    <w:p>
      <w:r>
        <w:rPr>
          <w:b/>
        </w:rPr>
        <w:t xml:space="preserve">Datum: </w:t>
      </w:r>
      <w:r>
        <w:t>1926-05-12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Bernhard Eriksson (Socialdemokraterna, man)</w:t>
      </w:r>
    </w:p>
    <w:p>
      <w:r>
        <w:rPr>
          <w:b w:val="0"/>
        </w:rPr>
        <w:t>Herr talman! Jag begärde ordet när jag hörde hur herr Forssell begynte sitt anförande. Jag trodde, att alla vi som vågade kritisera motionärerna, skulle riktigt få »storsmockan», men därav blev intet. Jag förstår inte, att herr Johanson »tog sig ton» genom att han efter-</w:t>
        <w:br/>
        <w:br/>
        <w:t xml:space="preserve">lyste, vilka Vinoch spritcentralens </w:t>
      </w:r>
      <w:r>
        <w:rPr>
          <w:b/>
        </w:rPr>
        <w:t>dotterdotterbolag²</w:t>
      </w:r>
      <w:r>
        <w:rPr>
          <w:b w:val="0"/>
        </w:rPr>
        <w:t xml:space="preserve"> voro. Han fick ju också bekräftat, att några sådana icke funnos och att uppgiftslämnaren sålunda varit på fel väg.</w:t>
        <w:br/>
        <w:br/>
        <w:t>Den siste ärade talaren uppehöll sig vid frågan, när 1920 års vinst inlevererades till statsverket och andra dylika spörsmål. Är det sådana frågor, som skola bli föremål för undersökning och revision eller vad är det för någonting egentligen? Under åren 1917—1922 ha från bolaget inlevererats i vinst 21 miljoner och i skatter 20 miljoner kronor, sålunda tillsammans 41 miljoner, under det att aktieägarna fått 6 miljoner. Med den ståndpunkt riksdagen intagit till frågan om Vinoch spritcentralens vinstleverans till staten kan man, om man vill kritisera, möjligen anse att vinsten varit för stor. Men är det så, att herr Forssell kan få riksdagens majoritet med på att Vinoch spritcentralen skall lämna större vinst till statsverket, så är det ingen konst, så länge det svenska folket menar, att brännvin aldrig blir för dyrt — man kan få både 25 och 50 miljoner kronor — ty det är då bara att höja priset. Men detta innebär, att Stockholms stad genom kommunalskatten får taga ut en kolossal skatt av landsbygden, och det förstår man att herr Forssell såsom stockholmare har ingenting emot.</w:t>
        <w:br/>
        <w:br/>
        <w:t>En sak, som förvånat mig i detta sammanhang, är, att man icke får reda på, hur den ifrågasatta revisionen skulle gå till och vem som skulle utföra den. År 1923 tillkallade den dåvarande Tryggerska regeringens finansminister en man, som skulle vara pålitlig ur kritikernas och motionärernas synpunkt, nämligen nuvarande direktören för Stockholms stads gasverk, ingenjör Hultman. Denne man hade år 1920 i Stockholms stadsfullmäktige en sådan uppfattning i denna fråga, att han röstade emot det Brattska bolaget och ville neka det oktroj. Det var sålunda en man, som väl icke i något avseende kunde vara insyltad i det restriktionsbolag, som sedan kom till stånd; han hade ju ingalunda några sympatiska känslor för Vinoch spritcentralen. När inte ens han lyckades komma med någon kritik i detta fall, vem skall man då hitta på? När sedan Vinoch spritcentralen fick oktroj och man som jourhavande direktör tillsatte en man, som inte heller, såvitt jag vet, på förhand hade några särskilt sympatiska känslor mot bolaget utan som gick till sitt verk med kritisk blick på tingen, hur skall man då kunna få fram en annan, mera kritisk revision? Jag skulle vilja veta, hur revision skulle gå till för att skapa det förtroende, som man nu påstår att koncernen saknar!</w:t>
      </w:r>
    </w:p>
    <w:p>
      <w:pPr>
        <w:pStyle w:val="Heading2"/>
      </w:pPr>
      <w:r>
        <w:t>2. Harry Weibull (Lantmanna- och borgarepartiet inom andrakammaren, man)</w:t>
      </w:r>
    </w:p>
    <w:p>
      <w:r>
        <w:rPr>
          <w:b w:val="0"/>
        </w:rPr>
        <w:t>Herr talman! Jag har endast det tillägget att göra, att år 1928 går kontraktet ut. Det har inte nämnts förut i debatten. Alltså har Kungl. Maj:t åren 1927 och 1928, för att framkomma till riksdagen med förslag 1 det hänseende förändring önskas med Vinoch spritcentralen beträffande dess organisation och kontrollen över densamma.</w:t>
      </w:r>
    </w:p>
    <w:p>
      <w:pPr>
        <w:pStyle w:val="Heading2"/>
      </w:pPr>
      <w:r>
        <w:t>3. Elof Ljunggren (Frisinnade folkpartiet, man)</w:t>
      </w:r>
    </w:p>
    <w:p>
      <w:r>
        <w:rPr>
          <w:b w:val="0"/>
        </w:rPr>
        <w:t>Herr talman! Jag kunde inte annat än förvåna mig över det sätt, på vilket herr Eriksson i Grängesberg bemötte den, som han kallade, agitation, som här bedrevs och som han med hänvisning till ett uttalande av en här i kammaren inte närvarande man karakteriserade. För herr Eriksson i Grängesberg torde det dock inte vara obekant, att även på det håll, som han själv räknar sig till, nämligen nykterhetsfolket, måhända även inom hans eget parti, finns det personer, som i denna sak hava ungefär liknande uppfattning som motionärerna och som måhända också deltaga i denna s. k. agitation.</w:t>
        <w:br/>
        <w:br/>
        <w:t>Jag skall i det avseendet be att få påminna herr Eriksson om, att det inte var längre än blott för några dagar sedan, som framstående medlemmar av hans</w:t>
        <w:br/>
        <w:br/>
        <w:t>egen nykterhetsgrupp voro med om att karakterisera just det förhållande, som vi här tala om, i det dagsprogram, som de tillsammans med oss uppsatte för det svenska nykterhetsfolket. Jag ber att få läsa upp en del av detta uttalande och på så sätt i protokollet bevara det som en protest mot herr Erikssons uttalande och som ett bevis för, att motionärerna i sitt krav stå i full samklang med Sveriges nykterhetsfolk. I det nykterhetsfolkets dagsprogram heter det sålunda bl. a.:</w:t>
        <w:br/>
        <w:br/>
        <w:t>»Alltjämt kvarstå i alkoholhanteringen privata vinstintressen av betydande styrka. Alltjämt är tillverkningen av brännvin, utskänkningen av rusdrycker samt tillverkningen och försäljningen av starkare maltdrycker till väsentlig del föremål för enskild företagsamhet. Så länge ingen ändring skett härutinnan, kommer varje strävan till nykterhetsbefrämjande lagstiftning att mötas av ett hårdnackat och hänsynslöst motstånd från dessa företagare. Nykterhetsintresset inom och utom nykterhetsrörelsen bör därför skapa sig rörelsefrihet för vidtagande av de nykterhetsfrämjande åtgärder, som i framtiden kunna finnas erforderliga, och trygghet för att de föreskrifter, som komma att utfärdas, efterlevas, genom att jämväl från förenämnda näringsgrenar bortskära det enskilda vinstintresset. Härvid liksom i fråga om de företag, som redan genom dylik beskärning av privatintresset kommit till stånd, bör emellertid skapas erforderlig offentlig kontroll. Därjämte måste tillses, att icke i dess ställe hos offentligt framskjutna personer uppstår ett till inkomsten av styrelseledamotskap eller dylikt knutet intresse i alkoholhanteringens fortbestånd.»</w:t>
        <w:br/>
        <w:br/>
        <w:t>Jag hemställer, om inte vi, som hava en sådan uppfattning, äro i vår fulla rätt att vid varje lämpligt tillfälle och nu i detta fall kräva just den utredning, som kan behövas, för att bortskära dessa allmänna vinstintressen, som ligga i vägen för vad vi anse böra vara rätt och rimligt att genomföra.</w:t>
        <w:br/>
        <w:br/>
        <w:t>Här har mest talats om granskning av Vinoch spritcentralen. Därom vill jag inte yttra mig. I motionen av undertecknad m. fl. ha ju också systembolagen angivits såsom lämpliga föremål för granskning, såsom ju ävenledes av flere föregående talare framhållits. Jag vill ytterligare betona det, att det i en offentlig inlaga från kontrollstyrelsen konstateras, att ännu 1925 är det icke mindre än 13,437,000 kronor, vilka som restauratörernas bruttovinst hamna i de enskildas fickor i stället för att de borde komma det allmänna till godo. Man skulle ju också kunna tänka sig, att åtskilliga av systembolagens omkostnader skulle kunna väsentligt begränsas. Jag kom att se på en siffra 1 kontrollstyrelsens utlåtande beträffande systembolagens omkostnader, jag menar inte revisionsomkostnaderna, ty de äro säkerligen nödvändiga och kanske ännu mera nödvändiga än förut, utan jag menar en del andra, exempelvis styrelsearvoden. Det visar sig, att styrelsearvodena haft en viss tendens, alldeles som spritkonsumtion och fylleriförseelser, att hålla sig betydligt i höjden. WSista året uppgick styrelsearvodessumman närapå till en halv miljon kronor. Jag missunnar visst inte dessa herrar styrelseledamöter i våra spritbolag att kunna få sig en välkommen extrainkomst. Jag har själv suttit i spritbolag åtskilliga år som landstingets representant, så att jag vet ungefär, hur det kan förhålla sig i det avseendet. — För att inte någon skall missförstå mig, ber jag att få säga, att när jag utkvitterade mina arvoden överlämnade jag dem mot kvitto till välgörande ändamål. — Jag tog mig friheten att i det spritbolag, jag tillhörde, föreslå, att styrelsearvodet skulle utgå med 10 kr. pr sammanträde för de kanske tio, tolv, femton sammanträden som höllos om året i stället för de 500 kr. som eljes utkvitterades. Skillnaden skulle komma det allmänna till godo. Det föreföll mig, som herrar styrelseledamöter knappast hade anledning betrakta sig i högre ställning i ekonomiskt avseende än dåtida riksdagsmän — arvodet var då tio kronor om dagen. Förslaget blev emellertid avslaget. Det</w:t>
        <w:br/>
        <w:br/>
        <w:t>var uppenbarligen med en viss sorg vederbörande tänkte på, att revisorerna skulle se den reservation, jag gjort till protokollet och möjligen tycka, att styrelsearvodet kunnat vara lägre.</w:t>
        <w:br/>
        <w:br/>
        <w:t>Nu är det ju så, att styrelsesammanträdena förekomma tätare än förr, men Jag hemställer ändå, om inte i synnerhet ordförandens arvode på många ställen och likaså styrelseledamöternas i förhållande till presterat arbete äro överdrivet tilltagna. På denna punkt finns, såvitt jag förstår, åtskilligt, som skulle kunna reduceras.</w:t>
        <w:br/>
        <w:br/>
        <w:t>På tal om kontrollstyrelsens utlåtande, har jag funnit, att denna styrelse också pekat på en annan sak, nämligen spritbolagens antal. Det framhålles, att omkostnaderna skulle kunna nedsättas genom att förminska antalet bolag. Kontrollstyrelsen yttrar nämligen, att vilja statsmakterna genomföra en vida längre gående begränsning av systembolagens antal, kunna säkerligen avsevärda besparingar göras såväl i fråga om lönekontot som å åtskilliga andra omkostnadskonton. I detta avseende borde ock åstadkommas en revision.</w:t>
        <w:br/>
        <w:br/>
        <w:t xml:space="preserve">Det har talats om </w:t>
      </w:r>
      <w:r>
        <w:rPr>
          <w:b/>
        </w:rPr>
        <w:t>dotteroch²</w:t>
      </w:r>
      <w:r>
        <w:rPr>
          <w:b w:val="0"/>
        </w:rPr>
        <w:t xml:space="preserve"> </w:t>
      </w:r>
      <w:r>
        <w:rPr>
          <w:b/>
        </w:rPr>
        <w:t>dotterdotterbolag²</w:t>
      </w:r>
      <w:r>
        <w:rPr>
          <w:b w:val="0"/>
        </w:rPr>
        <w:t xml:space="preserve"> i både legitim och illegitim form, när det gäller spritcentralen. Det har inte nämnts något om systembolagens </w:t>
      </w:r>
      <w:r>
        <w:rPr>
          <w:b/>
        </w:rPr>
        <w:t>dotterbolag²</w:t>
      </w:r>
      <w:r>
        <w:rPr>
          <w:b w:val="0"/>
        </w:rPr>
        <w:t xml:space="preserve">. Även om systembolagen kanske icke äga några </w:t>
      </w:r>
      <w:r>
        <w:rPr>
          <w:b/>
        </w:rPr>
        <w:t>dotterdotterbolag²</w:t>
      </w:r>
      <w:r>
        <w:rPr>
          <w:b w:val="0"/>
        </w:rPr>
        <w:t xml:space="preserve">, finns det i alla fall en sex, sju stycken </w:t>
      </w:r>
      <w:r>
        <w:rPr>
          <w:b/>
        </w:rPr>
        <w:t>dotterbolag²</w:t>
      </w:r>
      <w:r>
        <w:rPr>
          <w:b w:val="0"/>
        </w:rPr>
        <w:t xml:space="preserve">, s. k. restaurangaktiebolag. Nu påpekar ju visserligen kontrollstyrelsen, att dessa bolag hava kommit till av praktiska skäl. Samma kontrollstyrelse säger dock, att ett systembolag kan få ett helt annat grepp om själva utskänkningen, då hela restaurangrörelsen på en restaurang ligger i bolagets hand. Även i fråga om dessa restaurangbolag skulle det kunna vara lämpligt att göra vissa undersökningar. Jag känner ett systembolag, som, efter vad jag vill minnas, har satt in 100,000 kronor i ett sådant restaurangbolag, ett </w:t>
      </w:r>
      <w:r>
        <w:rPr>
          <w:b/>
        </w:rPr>
        <w:t>dotterbolag²</w:t>
      </w:r>
      <w:r>
        <w:rPr>
          <w:b w:val="0"/>
        </w:rPr>
        <w:t xml:space="preserve">, och så ha styrelseledamöterna, tror jag, tecknat en aktie var, för att det skall finnas det antal personer som lagen föreskriver för bildandet av ett aktiebolag. Systembolaget är sålunda den egentlige bildaren av </w:t>
      </w:r>
      <w:r>
        <w:rPr>
          <w:b/>
        </w:rPr>
        <w:t>dotterbolaget²</w:t>
      </w:r>
      <w:r>
        <w:rPr>
          <w:b w:val="0"/>
        </w:rPr>
        <w:t xml:space="preserve">, ehuru en fyra fem personer ytterligare gått in med sina aktier. Nu säger kontrollstyrelsen, att det visat sig lämpligare att bilda restaurangbolag än hänvisa denna restaurangrörelse till särskild avdelning inom systembolaget. Jag skall då be att få nämna, att detta </w:t>
      </w:r>
      <w:r>
        <w:rPr>
          <w:b/>
        </w:rPr>
        <w:t>dotterbolags²</w:t>
      </w:r>
      <w:r>
        <w:rPr>
          <w:b w:val="0"/>
        </w:rPr>
        <w:t xml:space="preserve"> styrelse som jag avser är ingen sådan avdelning, utan den består, om jag icke är illa underrättad, av precis samma personer som systembolagets styrelse. Jag kan inte förstå, varför inte samma personer i systembolaget kunde sköta denna restaurangrörelse lika bra som samma personer kunna, sedan de bildat ett </w:t>
      </w:r>
      <w:r>
        <w:rPr>
          <w:b/>
        </w:rPr>
        <w:t>dotterbolag²</w:t>
      </w:r>
      <w:r>
        <w:rPr>
          <w:b w:val="0"/>
        </w:rPr>
        <w:t xml:space="preserve"> och genom detta bedriva denna rörelse. Hemligheten torde vara, att det inte är möjligt att få en extra ersättning eller extra styrelsearvode av systembolaget, som står under speciell kontroll, men att det går mycket lätt att få något tusental kronor extra i </w:t>
      </w:r>
      <w:r>
        <w:rPr>
          <w:b/>
        </w:rPr>
        <w:t>dotterbolaget²</w:t>
      </w:r>
      <w:r>
        <w:rPr>
          <w:b w:val="0"/>
        </w:rPr>
        <w:t xml:space="preserve"> eller restaurangbolaget, vilket också förekommer. Däri ser jag huvudsyftemålet med denna, åtminstone på det ställe, jag åsyftat, onödiga omläggning av restaurangrörelsen, så att den överföres till ett särskilt </w:t>
      </w:r>
      <w:r>
        <w:rPr>
          <w:b/>
        </w:rPr>
        <w:t>dotterbolag²</w:t>
      </w:r>
      <w:r>
        <w:rPr>
          <w:b w:val="0"/>
        </w:rPr>
        <w:t>.</w:t>
        <w:br/>
        <w:br/>
        <w:t>Med dessa få exempel har jag sökt visa, att även inom systembolagsrörelsen nog finnas saker och ting, som tåla att tänka på, och att det är fullväl befogat, att man ser till, vad som kan göras för att minska omkostnaderna. Om jag då därtill för min personliga och mina meningsfränders del lägger stor vikt vid den sociala sidan av saken, när jag ser, hur många tiotusentals fylleriförseelser förekomma i landet och hur spritkonsumtionen under senare år oupphörligt ökas, då har jag viss anledning undra, om det inte är möjligt att kunna genom granskning och utredning få sådana anordningar före-</w:t>
        <w:br/>
        <w:br/>
        <w:t>slagna, som även i detta avseende, på samma gång omkostnaderna nedbringas, kunna åstadkomma ett förbättrat nykterhetstillstånd i landet.</w:t>
        <w:br/>
        <w:br/>
        <w:t>Nu säger utskottets ärade ordförande, att det allt som allt skulle kosta så mycket som 150,000 kronor, eller vad det var, att företaga en sådan undersökning. Jag tycker nästan, att den summan är väl liten att skrämma riksdagen med, då man har för avsikt att genom en sådan undersökning måhända kunna bringa miljoner in i statsverkets kassor i st. f. vad som genom en sådan undersökning utgåves. |</w:t>
        <w:br/>
        <w:br/>
        <w:t>Jag vet fullväl, att motiveringen i vissa delar av reservationen, som här anförts, inte tilltalar en del av kammarens ledamöter. Mig synes dock de skäl som anförts för en undersökning vara bärande. Jag har i vad jag nu framhållit sökt peka på, varför vi nykterhetsvänner vilja vara med om en sådan undersökning. Det är bl. a. därför, att vi tro, att denna undersökning skulle vara till gagn även i socialt hänseende, så att på samma gång en omkostnadsminskning ägde rum, ett bättre nykterhetstillstånd här i landet skulle åstadkommas.</w:t>
        <w:br/>
        <w:br/>
        <w:t>Herr talman! För min del har jag ingenting att invända mot, att de där orden om »olika politiska partier» tages bort ur klämmen, men jag kan inte finna, att det är nödvändigt att i övrigt frångå motiveringen.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