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523</w:t>
      </w:r>
    </w:p>
    <w:p>
      <w:r>
        <w:rPr>
          <w:b/>
        </w:rPr>
        <w:t xml:space="preserve">Datum: </w:t>
      </w:r>
      <w:r>
        <w:t>1927-02-26</w:t>
      </w:r>
    </w:p>
    <w:p>
      <w:r>
        <w:rPr>
          <w:b/>
        </w:rPr>
        <w:t xml:space="preserve">Kammare: </w:t>
      </w:r>
      <w:r>
        <w:t>Första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Nils Erik Nilsson (Högerns riksdagsgrupp, man)</w:t>
      </w:r>
    </w:p>
    <w:p>
      <w:r>
        <w:rPr>
          <w:b w:val="0"/>
        </w:rPr>
        <w:t xml:space="preserve">Herr talman, mina herrar! Vid behandlingen av detta ärende har bankoutskottet nu liksom så många gånger tidigare låtit huvudet mer än hjärtat tala. Om denna bankoutskottets princip är ingenting att säga, men det har hänt någon gång, att bankoutskottet har tagit hänsyn till sådana synpunkter som speciellt i detta fall kunna framföras. Jag har en gång varit med om att beveka ett bankoutskott i en fråga, liknande denna, då det visserligen gällde pension endast åt en tjänsteinnehavares </w:t>
      </w:r>
      <w:r>
        <w:rPr>
          <w:b/>
        </w:rPr>
        <w:t>änka²</w:t>
      </w:r>
      <w:r>
        <w:rPr>
          <w:b w:val="0"/>
        </w:rPr>
        <w:t>. I detta fall gäller det, som vi veta, pensioner åt ett flertal statstjänstemäns änkor, men det är sådana, som åtnjuta pensioner till mycket, mycket ringa belopp i förhållande till de pensioner, som änkor efter tjänstemän i motsvarande ställning efter den nya löneregleringen få uppbära.</w:t>
        <w:br/>
        <w:br/>
        <w:t xml:space="preserve">Jag har från civilstatens </w:t>
      </w:r>
      <w:r>
        <w:rPr>
          <w:b/>
        </w:rPr>
        <w:t>änkeoch²</w:t>
      </w:r>
      <w:r>
        <w:rPr>
          <w:b w:val="0"/>
        </w:rPr>
        <w:t xml:space="preserve"> pupillkassa fått ett par tre exempel, som äro synnerligen belysande. En gammal </w:t>
      </w:r>
      <w:r>
        <w:rPr>
          <w:b/>
        </w:rPr>
        <w:t>änka²</w:t>
      </w:r>
      <w:r>
        <w:rPr>
          <w:b w:val="0"/>
        </w:rPr>
        <w:t xml:space="preserve"> efter en Jandskanslist Schätz, 83 år gammal, har summa summarum 426 kronor i pension, alltså grundpension, dyrtidstillägg och pensionstillägg inräknade. Motsvarande förmåner enligt nu gällande stat uppgå till 1,024 kronor, alltså i runt tal 600 kronor mera. De två andra exemplen äro ungefär likartade. Jag har en stark känsla av att man gör dessa gamla </w:t>
      </w:r>
      <w:r>
        <w:rPr>
          <w:b/>
        </w:rPr>
        <w:t>kvinnor¹</w:t>
      </w:r>
      <w:r>
        <w:rPr>
          <w:b w:val="0"/>
        </w:rPr>
        <w:t xml:space="preserve"> orätt, då man strängt vidhåller, att de skola nöja sig med så låga pensioner. Det gäller här </w:t>
      </w:r>
      <w:r>
        <w:rPr>
          <w:b/>
        </w:rPr>
        <w:t>kvinnor¹</w:t>
      </w:r>
      <w:r>
        <w:rPr>
          <w:b w:val="0"/>
        </w:rPr>
        <w:t>, som i hela sitt liv fått kämpa vid sin mans sida för att med de små tillgångar, som en statstjänsteman på den tiden hade, kunna hålla hemmet ihop och få slantarna att räcka till. Det är ett verkligt storverk på sitt område, de i många fall uträttat. Jag skulle tro, att man icke säger för mycket, om man påstår, att de fått tillämpa en sparsamhet så sträng, att många av denna kammarens ledamöter, kanske de flesta, därom icke ha en aning.</w:t>
        <w:br/>
        <w:br/>
        <w:t xml:space="preserve">När nu motionärerna särskilt tryckt därpå att de ingalunda avse en schablonmässig förhöjning av alla pensioner över lag utan en förbättring av de pensioner av äldre typ, vilka vid undersökning befinnas uppenbart otillräckliga, då tycker jag för min ringa del, att det vore en aktningsvärd gärd av denna kammare att tillmötesgå det krav, som framställts från dessa gamla </w:t>
      </w:r>
      <w:r>
        <w:rPr>
          <w:b/>
        </w:rPr>
        <w:t>kvinnors¹</w:t>
      </w:r>
      <w:r>
        <w:rPr>
          <w:b w:val="0"/>
        </w:rPr>
        <w:t xml:space="preserve"> sida.</w:t>
        <w:br/>
        <w:br/>
        <w:t>Jag vill alltså för min del vädja till kammarens ledamöter att bifalla den vid utlåtandet fogade reservationen. Vi skola också komma ihåg, att dessa motioner hava varit föremål för riksdagens behandling under 1925 och 1926,</w:t>
        <w:br/>
        <w:br/>
        <w:t>och för varje år, som går, blir det färre av dessa gamla änkor som behöva komma i åtnjutande av riksdagens godhet. På det sättet skulle också det belopp, som för detta ändamål ytterligare skulle tarvas, bli mindre och mindre för varje år, som går.</w:t>
        <w:br/>
        <w:br/>
        <w:t>Jag tror, att man i detta fall gjorde en mycket god gärning, om man bifölle reservationen, och jag ber därför, herr talman, att få yrka bifall till densamma.</w:t>
      </w:r>
    </w:p>
    <w:p>
      <w:pPr>
        <w:pStyle w:val="Heading2"/>
      </w:pPr>
      <w:r>
        <w:t>2. Edvard Lithander (Första kammarens nationella parti, man)</w:t>
      </w:r>
    </w:p>
    <w:p>
      <w:r>
        <w:rPr>
          <w:b w:val="0"/>
        </w:rPr>
        <w:t>Herr talman! Jag är till stor del förekommen av den förste ärade talaren. Jag har samma uppfattning som han och samma yrkande. Jag skall emellertid be att få fästa kammarens uppmärksamhet på de två huvudskäl, som bankoutskottet haft för sin hemställan om avslag.</w:t>
        <w:br/>
        <w:br/>
        <w:t>Jag förstår mycket väl, att bankoutskottet, som har att föra sparsamhetens talan, måste anlägga sparsamhetssynpunkter, och hur svårt det många gånger är att behöva göra det i särskilt ömmande fall som detta. Bankoutskottet avstyrker på statsfinansiella skäl. I det avseendet är det ju litet svårt att bedöma vilken ekonomisk påföljd ett bifall till motionen kan ha, innan Kungl. Maj:t har prövat frågan, men det är ju, som den föregående ärade talaren sade, ett ständigt minskat antal personer som kan komma i fråga. De stå i de flesta fall på den lägsta levnadsstandard, som överhuvud taget kan förekomma. Det kommer icke att gälla stora belopp för budgeten, men det gäller oerhört mycket för dessa som leva, icke vid utan under svältgränsen. De statsfinansiella följderna tror jag därför, att vi kunna taga med jämnmod.</w:t>
        <w:br/>
        <w:br/>
        <w:t>Vidare har utskottet anfört de principiella skälen såsom en huvudgrund för sitt ställningstagande. Då vill jag säga, att dessa skäl redan äro släppta, i och med att riksdagen redan förut i form av dyrtidstillägg och pensionstillägg i någon mån bättrat förhållandena för just de personer, vi nu tala om. Om man då vill gå något längre än man förut gjort, och även det först sedan Kungl. Maj:t prövat saken, kan jag icke finna, att man i avseende å de principiella skälen behöver hysa några betänkligheter.</w:t>
        <w:br/>
        <w:br/>
        <w:t xml:space="preserve">Den föregående talaren nämnde, såvitt jag hörde, icke åldern på de personer det här gäller. Det är fråga om bland andra en </w:t>
      </w:r>
      <w:r>
        <w:rPr>
          <w:b/>
        </w:rPr>
        <w:t>änka²</w:t>
      </w:r>
      <w:r>
        <w:rPr>
          <w:b w:val="0"/>
        </w:rPr>
        <w:t xml:space="preserve"> på 83 år, som har att existera på 426 kronor. Kungl. Maj:t har nämligen ökat på pensionen från 180 kronor, som </w:t>
      </w:r>
      <w:r>
        <w:rPr>
          <w:b/>
        </w:rPr>
        <w:t>hon²</w:t>
      </w:r>
      <w:r>
        <w:rPr>
          <w:b w:val="0"/>
        </w:rPr>
        <w:t xml:space="preserve"> förut hade, till 426 kronor. Där är en annan </w:t>
      </w:r>
      <w:r>
        <w:rPr>
          <w:b/>
        </w:rPr>
        <w:t>änka²</w:t>
      </w:r>
      <w:r>
        <w:rPr>
          <w:b w:val="0"/>
        </w:rPr>
        <w:t xml:space="preserve"> på 89 år, som fått sin pension ökad från 120 kronor per år till 330 kronor och en annan på 94 år, som hade att existera på 80 kronor om året och som nu har fått pensionen ökad till 244 kronor.</w:t>
        <w:br/>
        <w:br/>
        <w:t>Om första kammaren bifaller motionen, som påyrkar, icke något definitivt beslut nu utan endast att Kungl. Maj:t skall få undersöka, om icke det med hjälp av de kassor och dylikt, som finnas, kunde finnas någon väg att något lindra dessa gamla personers läge, tror jag kammaren fattat ett beslut, som ingen i kammaren har anledning att rygga tillbaka för eller ångra.</w:t>
        <w:br/>
        <w:br/>
        <w:t>Jag ber, herr talman, att få yrka bifall till motionen.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523</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