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527</w:t>
      </w:r>
    </w:p>
    <w:p>
      <w:r>
        <w:rPr>
          <w:b/>
        </w:rPr>
        <w:t xml:space="preserve">Datum: </w:t>
      </w:r>
      <w:r>
        <w:t>1927-03-19</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Teodor Julin (Socialdemokraterna, man)</w:t>
      </w:r>
    </w:p>
    <w:p>
      <w:r>
        <w:rPr>
          <w:b w:val="0"/>
        </w:rPr>
        <w:t>Sedan återremiss yrkats på detta ärende, i vilket jag är motionär, och denna återremiss medgivits av andra kammaren, skall jag ej motsätta mig detta yrkande, ehuru jag för egen del finner frågan klar för avgörande.</w:t>
        <w:br/>
        <w:br/>
        <w:t>Vill man med en återremiss få undersökt, huruvida den ersättning, det här</w:t>
        <w:br/>
        <w:br/>
        <w:t>är fråga om, skulle komma herr Nylén till godo — jag följer nu den debatt, som förts i andra kammaren — eller komma herr Nyléns fordringsägare till</w:t>
        <w:br/>
        <w:br/>
        <w:t>godo, finner jag verkligen den saken vara något själva rättsfrågan ovidkommande. Vill man genom återremiss få undersökt, huruvida det beslagtagna kaffepartiet tillhört herr Nylén personligen eller aktiebolaget Martin Nylén, såsom en morgontidning i dag velat göra gällande, så finner Jag, att handlingarna i målet tillräckligt bestyrkt herr Nyléns rätt att betraktas som ägare till partiet. Men dessutom voro omständigheterna, när detta köp kom till stånd, till den grad dramatiska, att den, som är inne i förloppet, ingalunda kan sväva 1 ovisshet om hur saken låg till.</w:t>
        <w:br/>
        <w:br/>
        <w:t>Det var nämligen så, att när aktiebolaget Martin Nyléns chef, herr Nylén, låg uppe vid gränsen, i Haparanda, och skötte affärerna där, vägrade hans personal här i Stockholm att längre stå kvar i bolaget, om han inlät sig på detta, som tjänstemännen tyckte, olämpliga köp. Tvingad av detta strejkhot, nödgades Nylén köpa partiet för egen räkning. För att emellertid detta icke bara skall vara ett påstående, har jag begärt, att herr Nyléns dåvarande kontorschef skulle lämna mig ett skriftligt intyg på att det förhöll sig så, som jag sagt, och jag ber att genom uppläsning av detta intyg få det intaget i kammarens protokoll. Han skriver:</w:t>
        <w:br/>
        <w:br/>
        <w:t>»Undertecknad, som från 18 maj 1917 till 29 augusti 1918 var anställd som kamrer hos Martin Nylén Aktiebolag, intyger härmed under edlig förpliktelse</w:t>
        <w:br/>
        <w:br/>
        <w:t xml:space="preserve">att sista dagarna av november 1917, då fråga blev om att köpa de kaffepartier, som Folkhushållningskommissionen i december 1917 fråntog herr Martin Nylén och om vilkas ersättning riksdagen nu skall besluta, personalen hos Martin Nylén Aktiebolag motsatte sig att köpet finge ske för bolagets räkning. Jag och övriga hos bolaget anställda fruktade nämligen att något obehag skulle komma att drabba oss av en sådan affär, därför att vi trodde att den möjligen stode i strid med den då gällande kristidslagstiftningen. För att giva desto kraftiga eftertryck åt vårt beslut att ej kvarstå i bolagets tjänst, om affären gjordes åt bolaget, uppsatte vi en skrivelse härom, som skickades 1 rekommenderat brev till bolagets i Haparanda då vistande direktör, herr Martin Nylén, vilken även ägde samtliga aktier i bolaget utom ett betydelselöst fåtal, som pro forma skrivits på andra. Denna skrivelse var undertecknad av mig, korrespondenten </w:t>
      </w:r>
      <w:r>
        <w:rPr>
          <w:b/>
        </w:rPr>
        <w:t>fru²</w:t>
      </w:r>
      <w:r>
        <w:rPr>
          <w:b w:val="0"/>
        </w:rPr>
        <w:t xml:space="preserve"> Ada Hallén, avdelningschefen Sven Sörensen, försäljaren Uno Sjöberg samt två personer till, vilkas namn jag icke nu med absolut säkerhet erinrar mig. I anledning av denna framställning från personalens sida gjordes kaffeaffären, vilket jag med full bestämdhet vet, icke för aktiebolagets räkning utan åt herr Nylén personligen. Stockholm den 19 mars 1927. Karl Johansson.</w:t>
      </w:r>
    </w:p>
    <w:p>
      <w:pPr>
        <w:pStyle w:val="Heading2"/>
      </w:pPr>
      <w:r>
        <w:t>2. Leon Ljunglund (Första kammarens nationella parti, man)</w:t>
      </w:r>
    </w:p>
    <w:p>
      <w:r>
        <w:rPr>
          <w:b w:val="0"/>
        </w:rPr>
        <w:t>Herr talman! Jag anhåller att till herr statsrådet och chefen för kommunikationsdepartementet få framställa en interpellation.</w:t>
        <w:br/>
        <w:br/>
        <w:t>Det torde vara herr statsrådet bekant att genom avtal år 1917 mellan järnvägsstyrelsen och Ab. Pressbyrån, innehavare firmorna Albert Bonnier och Otto Hirsch, blev nämnda byrå medgiven ensamrätt att å statens järnvägars stationer och tåg bedriva försäljning av tidningar m. m. i enlighet med vissa villkor, däribland en årlig avgäld, som successivt höjdes från 16,000 kr. första året till 35,000 kr. under senare åren. Detta avtal, som gällt i 10 år, upphör med utgången av år 1927 och torde av järnvägsstyrelsen nu ha uppsagts; enligt meddelande är det styrelsens avsikt att genom annons den 1 nästa april infordra anbud rörande denna försäljningsrätt för att sedan enligt vissa redan fastställda villkor överlåta den till den mestbjudande, kanhända på nya 10 år.</w:t>
        <w:br/>
        <w:br/>
        <w:t>Svenska tidningsutgivareföreningen, för vilken otvivelaktigt förefinnes åtskilliga allvarliga anledningar till oro över svenska pressbyråns handhavande av försäljningen, i all synnerhet om därmed skall fortsätta under obegränsad framtid, har låtit genom särskilda kommitterade anställa undersökning om förutsättningarna för en pressens egen distributionsaffär med uppgift att övertaga iidningsförsäljningen å järnvägarna och i övrigt även annorstädes i landet i lämplig utsträckning. Dessa kommitterade skola vara färdiga med sitt utlåtande till tidningsutgivareföreningens vårmöte i medio eller slutet av maj månad.</w:t>
        <w:br/>
        <w:br/>
        <w:t>1) Anser herr statsrådet, att en uttryckt önskan från pressens sida att få övertaga tidningsförsäljningen är förtjänt av minst lika stort beaktande och tillmötesgående som firmorna Bonniers och Hirschs avsikt att även hädanefter få omhänderhava omnämnda försäljningsrätt?</w:t>
        <w:br/>
        <w:br/>
        <w:t>2) Järnvägsstyrelsen har för sin del på olika sätt avböjt, att pressen ställes på jämlik fot med firmorna Bonnier och Hirsch i fråga om erhållandet av antydda försäljningsrätt.</w:t>
        <w:br/>
        <w:br/>
        <w:t xml:space="preserve">Utom med svenska pressbyrån har järnvägsstyrelsen sedan år 1918 ett avtal med nämnda byrås </w:t>
      </w:r>
      <w:r>
        <w:rPr>
          <w:b/>
        </w:rPr>
        <w:t>dotterbolag²</w:t>
      </w:r>
      <w:r>
        <w:rPr>
          <w:b w:val="0"/>
        </w:rPr>
        <w:t xml:space="preserve"> Alga angående försäljning av sötsaker, tobak och korta varor från kiosker vid ett stort antal järnvägsstationer och har förklarat sig ämna låta detta avtal fortfarande gälla.</w:t>
        <w:br/>
        <w:br/>
        <w:t>De favörer, som därmed läggas i firmorna Bonniers och Hirschs händer äro följande.</w:t>
        <w:br/>
        <w:br/>
        <w:t>a) Algabolagets rörelse vid järnvägsstationerna inbringar årligen 3 å 4 gånger netto det belopp, som hittills utgått i årlig avgäld för tidningsförsäljningsrätten och Algabolagets ägare ha alltså ett ofantligt försprång framför andra konkurrenter om sist antydda rätt.</w:t>
        <w:br/>
        <w:br/>
        <w:t>b) I Algabolagets kontrakt $ 3 tillerkännes åt Alga »enbart i egenskap av svenska pressbyråns kommissionär och för dess räkning rätt att i kioskerna tillhandahålla tidningar och andra tryckalster».</w:t>
        <w:br/>
        <w:br/>
        <w:t>Järnvägsstyrelsen ställer faktiskt firmorna Bonnier och Hirsch i en så gynnad ställning, att tidningsägarna på förhand sättas ur stånd att konkurrera med det gynnade bolaget om rätten att försälja sina egna produkter, därest ej järnvägsstyrelsen förmås ändra hållning. Finner icke herr statsrådet detta vara betänkligt? Förmodligen för att avklippa all diskussion om en möjlig rättvisare hållning från järnvägsstyrelsens sida har styrelsen förklarat sig komma att an- - nonsera sina villkor redan den 1 nästa april. Finner herr statsrådet denna järnvägsstyrelsens åtgärd lämplig just nu, innan tidningsutgivareföreningen blivit i stånd att få del av sina kommitterades rapport?</w:t>
        <w:br/>
        <w:br/>
        <w:t>3) Den lämplighetsåtgärd, som vidtagits genom överlåtande av tidningsförsäljningen å järnvägarna till herrarna Bonniers och Hirschs bolag synes redan hava förvandlats till ett privatmonopol, synnerligen starkt förankrat genom statens tillhjälp för en oöverskådlig framtid, därest kungl. järnvägsstyrelsens planer fullföljas. Detta monopol är nyckeln till en hela landet omfattande stor distributionsoch försäljningsaffär, som redan 1925 nått upp till en årlig omsättning på över 17"/2 miljoner kronor.</w:t>
        <w:br/>
        <w:br/>
        <w:t>Det sätt, varpå detta monopol handhaves, lämnar rum för befogade anmärkningar. Det är så skickligt ordnat, att pressen väsentligen är urståndsatt att kontrollera i vad mån det handlar rättvist eller orättvist mot enskilda tidningsägare. Men ännu betänkligare är, att blotta tillvaron av denna helt igenom på enskild vinning inriktade betydande affär hotar att medföra stora faror för pressens självständighet och oberoende.</w:t>
        <w:br/>
        <w:br/>
        <w:t>Anser herr statsrådet icke att även denna sida av saken är förtjänt att tagas i beaktande vid det blivande avgörandet av frågan om ensamrättigheten till tidningsförsäljning å järnvägarna?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527</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