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537</w:t>
      </w:r>
    </w:p>
    <w:p>
      <w:r>
        <w:rPr>
          <w:b/>
        </w:rPr>
        <w:t xml:space="preserve">Datum: </w:t>
      </w:r>
      <w:r>
        <w:t>1927-05-17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Adolf Dahl (Första kammarens nationella parti, man)</w:t>
      </w:r>
    </w:p>
    <w:p>
      <w:r>
        <w:rPr>
          <w:b w:val="0"/>
        </w:rPr>
        <w:t>Herr talman! I förevarande punkt hemställer utskottet om bemyndigande för Kungl. Maj:t »att fastställa de närmare grunder för realskolans organisation i huvudsaklig enlighet med vad departementschefen i statsrådsprotokollet över ecklesiastikärenden för den 18 februari 1927 angivit med därutinnan av utskottet här ovan föreslagna jämkningar».</w:t>
        <w:br/>
        <w:br/>
        <w:t xml:space="preserve">I fråga om realskolans organisation förutsättes, såvitt jag läst utskottets betänkande rätt, att realskolan skall upplåtas för </w:t>
      </w:r>
      <w:r>
        <w:rPr>
          <w:b/>
        </w:rPr>
        <w:t>flickor²</w:t>
      </w:r>
      <w:r>
        <w:rPr>
          <w:b w:val="0"/>
        </w:rPr>
        <w:t>, organiseras som samskola, utan att vederbörande kommun förut därom framställt önskemål. Denna punkt står i motsättning mot den kungl. propositionen, som förutsätter, att denna organisation skall genomföras, endast under det villkor, att kommunen därutinnan gjort framställning.</w:t>
        <w:br/>
        <w:br/>
        <w:t xml:space="preserve">Enligt min mening är den av Kungl. Maj:t här intagna ståndpunkten den riktiga och att föredraga framför utskottets, som vill att skolorna, utan så beskaffad förutsättning, skola upplåtas för den </w:t>
      </w:r>
      <w:r>
        <w:rPr>
          <w:b/>
        </w:rPr>
        <w:t>kvinnliga¹</w:t>
      </w:r>
      <w:r>
        <w:rPr>
          <w:b w:val="0"/>
        </w:rPr>
        <w:t xml:space="preserve"> ungdomen. Jag skall icke vid denna sena tidpunkt taga upp en diskussion angående de pedagogiska synpunkterna på denna fråga, som ju för övrigt tidigare under överläggningen ha berörts, utan jag inskränker mig för närvarande till att yrka, att till denna hemställan fogas ett tillägg av följande lydelse: »dock att i fråga om </w:t>
      </w:r>
      <w:r>
        <w:rPr>
          <w:b/>
        </w:rPr>
        <w:t>flickornas²</w:t>
      </w:r>
      <w:r>
        <w:rPr>
          <w:b w:val="0"/>
        </w:rPr>
        <w:t xml:space="preserve"> tillträde till realskolan må tillämpas den ordning, som av departementschefen förutsatts.»</w:t>
        <w:br/>
        <w:br/>
        <w:t>Jag ber, herr talman, att få erinra därom, att jag, då jag framställer detta yrkande, således befinner mig i samförstånd med den uppfattning angående den ändamålsenliga ordningen i detta avseende, som departementschefen här har anslutit sig till.</w:t>
      </w:r>
    </w:p>
    <w:p>
      <w:pPr>
        <w:pStyle w:val="Heading2"/>
      </w:pPr>
      <w:r>
        <w:t>2. Wilhelm Björck (Socialdemokraterna, man)</w:t>
      </w:r>
    </w:p>
    <w:p>
      <w:r>
        <w:rPr>
          <w:b w:val="0"/>
        </w:rPr>
        <w:t>Detta herr Dahls yrkande förefaller mig fullkomligt orimligt. Kammaren har ju i likhet med andra kammaren redan beslutat, att de olika läroverken skola vara samläroverk, och då kan jag inte föreställa mig, att det är möjligt att här på denna punkt foga in ett tillägg, som innebär att den beslutade omorganisationen göres beroende av kommunalt initiativ. Obligatoriska samläroverk kunna ju icke samtidigt vara fakultativa!</w:t>
      </w:r>
    </w:p>
    <w:p>
      <w:pPr>
        <w:pStyle w:val="Heading2"/>
      </w:pPr>
      <w:r>
        <w:t>3. Adolf Dahl (Första kammarens nationella parti, man)</w:t>
      </w:r>
    </w:p>
    <w:p>
      <w:r>
        <w:rPr>
          <w:b w:val="0"/>
        </w:rPr>
        <w:t xml:space="preserve">Det är alldeles riktigt såsom den siste ärade talaren erinrade, att kammaren, i fråga om organisationen under punkt B. b. 7, beslutat, att vissa läroverk skola organiseras som samläroverk, men kammaren har ingalunda beslutat, under vilka förutsättningar denna organisation skall ske. Här kunna tänkas tvenne förutsättningar, antingen den, att kommunen gör framställning om det, eller att kommunen inte gör framställning därom. Departementschefen har också tänkt sig, att de skulle organiseras som samläroverk men under förutsättning, att kommunerna gjorde framställning härom. Å andra sidan har en stor minoritet inom utskottet tänkt sig, att det förutsattes såsom betingelse för </w:t>
      </w:r>
      <w:r>
        <w:rPr>
          <w:b/>
        </w:rPr>
        <w:t>flickornas²</w:t>
      </w:r>
      <w:r>
        <w:rPr>
          <w:b w:val="0"/>
        </w:rPr>
        <w:t xml:space="preserve"> tillträde till läroverken, att kommunerna gjorde framställning. Det kan ju tyckas, som om skiljaktigheten vore mera teoretisk än praktisk, men jag tror, att om man tränger något in i spörsmålet, så skall man finna, att frågan har en ganska real innebörd, och jag föreställer mig, att även denna uppfattning har varit levande för departementschefen, när han formulerade sitt förslag. Utskottsmajoriteten har ansett, att man utan vidare borde fastställa såsom regel, att denna organisation skulle genomföras, men på goda grunder torde det kunna ifrågasättas, om ej på denna punkt åt det kommunala önskemålet bör givas ett betydande utrymme, och det är för kammaren öppet att i denna punkt giva uttryck för sin ståndpunkt till frågan, huruvida åt kommunerna bör lämnas möjlighet att på detta sätt uttrycka sitt önskemål. Jag föreställer mig, att detta torde stå i god överensstämmelse med den demokratiska åskådning, som Kungl. Maj:ts regering i allmänhet så starkt betonar, att den företräder och åt vilken den även vid propositionens avfattande i denna del har givit uttryck.</w:t>
        <w:br/>
        <w:br/>
        <w:t>Jag hemställer därför hos alla dem, som här tillhöra det frisinnade partiet och som väl högt uppskatta regeringens initiativ och ställning i allmänhet, huruvida det inte kunde vara skäl att här återgå till den välgrundade ståndpunkt,</w:t>
        <w:br/>
        <w:br/>
        <w:t>som herr statsrådet och chefen för ecklesiastikdepartementet har intagit vid propositionens avfattande. Jag finner således all anledning vara att vidbliva det av mig framställda yrkandet, som ej på något sätt formellt strider mot riksdagens ståndpunkt i gårdagens beslut, ty där har frågan om förutsättningarna lämnats öppen. Organisationen bör ansluta till de villkor, som sedermera här under denna punkt komma att angivas.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537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