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545</w:t>
      </w:r>
    </w:p>
    <w:p>
      <w:r>
        <w:rPr>
          <w:b/>
        </w:rPr>
        <w:t xml:space="preserve">Datum: </w:t>
      </w:r>
      <w:r>
        <w:t>1928-01-18</w:t>
      </w:r>
    </w:p>
    <w:p>
      <w:r>
        <w:rPr>
          <w:b/>
        </w:rPr>
        <w:t xml:space="preserve">Kammare: </w:t>
      </w:r>
      <w:r>
        <w:t>Första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Olof Olsson (Socialdemokraterna, man)</w:t>
      </w:r>
    </w:p>
    <w:p>
      <w:r>
        <w:rPr>
          <w:b w:val="0"/>
        </w:rPr>
        <w:t>Herr talman! Herr statsrådet och chefen för ecklesiaslikdepartementet kände sig, om jag fattade situationen rätt, indignerad över den första delen av mitt yttrande både å konstitutionsutskottets vägnar och å sina egna. Jag vill dock liksom han säga, att jag också suttit i konstitutionsutskottet. Jag tror, att det var under en sju år, och jag kan den dag som i dag är sanningsenligt säga, att jag under den tiden kände mig sitta 1 en krets, som långt ifrån var ofelbar.</w:t>
        <w:br/>
        <w:br/>
        <w:t>Emellertid — i den där uppfattningen, alt en efterkommande ecklesiastikminister bör gå fri från en föregåendes attacker, ligger det onekligen någonting, som kan hända är väl värt att ta fasta på. Det skulle kanske vara någonting att reflektera på, att föregående ecklesiastikministrar och den för året fungerande bildade en liten sluten krets, en samling augurer, som bara logo, när de sågo på varandra. Och det anförande, som den nuvarande eck-</w:t>
        <w:br/>
        <w:br/>
        <w:t>lesiastikministern höll, tyckte jag för min del nästan inviterade till sådant. Statsverkspro- Det var ett rejält, rättframt och klart anförande, och hade jag hört någonting postironen. i den stilen någon gång innan, kan det ju hända, att jag aldrig hade sagt en (Forts) del av det, som jag nu sade. Jag hade emellertid en rätt svår uppgift. Jag</w:t>
        <w:br/>
        <w:br/>
        <w:t>visste, att jag måste säga obehagligheter. Jag ville nämligen bestämt varna</w:t>
        <w:br/>
        <w:br/>
        <w:t>för. vissa inflytelser, som jag anser ha gjort sig alltför breda under en lång</w:t>
        <w:br/>
        <w:br/>
        <w:t>tid, och jag tog då omskrivningen med porträtten. Det sätt, på vilket herr ecklesiastikministern turnerade svaret, ger mig anledning att säga, att jag</w:t>
        <w:br/>
        <w:br/>
        <w:t>aldrig kunnat förstå dem, som velat sätta skägg på den gubbe, som jag visade</w:t>
        <w:br/>
        <w:br/>
        <w:t>hän på.</w:t>
        <w:br/>
        <w:br/>
        <w:t>Men det centrala är väl ändå inte det, som rörde min kritik av kommitté- betänkandet — jag fann mycket lätt av ecklesiastikministerns anförande, att han förstod meningen — utan det centrala är den anmärkning, som jag gjorde emot dröjsmålet ifråga om såväl de fyra läroverken som också beträffande den plan, som riksdagen begärt. Nu säger herr ecklesiastikministern, att det har inte funnits någon mänsklig möjlighet att effektuera beställningarna. Jag gör genast den lilla reflexionen: hur kunde herr statsrådet på våren 1927 tänka sig att redan till hösten 1927 ha en skola färdig, och hur kunde han vilja begära anslag till den, när han inte nu har hopp om att få någon skola färdig ens till hösten 1928? Men jag gör vidare den reflexionen: är det ett faktum detta, att ingenting kan bli färdigt, eller är det bara ett förmodande i ecklesiastikdepartementet? Jag har ju också varit med om sådana saker, och för mig är det ofattbart, att man inte här i Stockholm till an höst, som nu kommer, skulle kunnat ha ett högre allmänt läroverk för</w:t>
        <w:br/>
        <w:br/>
        <w:t xml:space="preserve">Vad planen beträffar, som riksdagen begärde i fråga om de återstående nio skolorna, är jag heller inte på den punkten benägen att taga de synpunkter, som framfördes, för kontanta, ty denna plan avsåg ju tiden längre fram. Det hade väl inte varit så svårt att hinna förfråga sig på de olika orterna om hur de ville ha det och hur de tänkte sig det och vilka möjligheter de hade, och på basis av dessa yttranden få fram planen till innevarande års riksdag. Ja, jag är övertygad om att det skulle ha kunnat ske, eftersom det finns folk här i denna kammare från en och annan av orterna, som gå och fundera, huruvida man skall motionera vid denna riksdag om att få detta högre </w:t>
      </w:r>
      <w:r>
        <w:rPr>
          <w:b/>
        </w:rPr>
        <w:t>flickläroverk²</w:t>
      </w:r>
      <w:r>
        <w:rPr>
          <w:b w:val="0"/>
        </w:rPr>
        <w:t>.</w:t>
        <w:br/>
        <w:br/>
        <w:t>Jag lämnar emellertid den saken och vill bara säga ett par ord till på grund av -den omständigheten, att jag på något oförklarligt sätt blev inblandad i herr Lindhagens yttrande. Jag kan verkligen inte riktigt fatta anledningen, men jag förstår ju, att det måste ha funnits en sådan. Jag hann i varje fall inte följa med, förr än han kom fram till saker, som jag helt kunde skriva under — undantagandes på en punkt som ställde mitt uppträdande här i kammaren i en något egendomlig dager. Han sade nämligen, att när han här i kammaren yrkade bifall till en sak, uppträdde jag och yrkade avslag på den — jag vet inte riktigt, vilken — och tillade han: »den mjuka handen var då borta». Om jag skulle falla offer för någonting liknande de kastningar i tankegången, som ofta äro karakteristiska för herr Lindhagen, skulle jag säga, att det var väl helt naturligt, eftersom jag inte hör till dem, som bruka tala med händerna.</w:t>
      </w:r>
    </w:p>
    <w:p>
      <w:pPr>
        <w:pStyle w:val="Heading2"/>
      </w:pPr>
      <w:r>
        <w:t>2. Oscar Olsson (Socialdemokraterna, man)</w:t>
      </w:r>
    </w:p>
    <w:p>
      <w:r>
        <w:rPr>
          <w:b w:val="0"/>
        </w:rPr>
        <w:t>Herr talman! Bara ett par ord i denna sena timme. När ecklesiastikministern besvarade min första anmärkning, skedde det i den formen, att han påvisade, att han var den förste, som gjort början med genomförandet av bibliotekssakkunnigas förslag genom att begära 50,000 kronor för nästa år, och så mycket hade minsann icke någon föregående regering</w:t>
        <w:br/>
        <w:br/>
        <w:t>gjort! Vad det svaret hade att göra i det sammanhanget, begriper jag inte, försåvitt icke avsikten var att avvända uppmärksamheten från vad Jag sagt. Vad jag anmärkte på var att departementschefen just genom denna anslagsbegäran hade omöjliggjort vad han själv kallade för förutsättningen för genomförandet av något av det viktigaste i reformväg i förra årets skolproposition, nämligen det inre arbetet. .</w:t>
        <w:br/>
        <w:br/>
        <w:t>Vad den andra anmärkningen beträffar, är jag naturligtvis icke så värst glad över att jag nu måste inrangera också ecklesiastikministern personligen i den liknöjdhetens krets, som den nuvarande folkfrisinnade regeringen bildar i fråga om utvecklingen av det frivilliga folkbildningsarbetet här i landet.</w:t>
        <w:br/>
        <w:br/>
        <w:t>Den nästan förfäran som ecklesiastikministern lade i dagen vid tanken på att man skulle komma till, såsom han angav, en summa av 1,600,000 kronor — jag tror förresten att det skulle bli en något högre summa — för det fria folkbildningsarbetet, utgör också för mig ett alldeles överraskande och oväntat intyg om den vikt och betydelse, som ecklesiastikministern skänker denna gren av den folkliga kulturen. När vår skolbudget drager en kostnad av över 100 miljoner kronor, tycker jag, att det icke borde föranleda en sådan förskräckelse, om man skulle tänka på, låt vara 2 miljoner kronor i anslag till det frivilliga folkbildningsarbetet bland de vuxna.</w:t>
        <w:br/>
        <w:br/>
        <w:t>För övrigt svarade ecklesiastikministern ingenting i fråga om den möjlighet Jag anvisat, att taga vissa brottstycken, ifall det skulle vara alldeles för mycket att taga det hela på en gång.</w:t>
        <w:br/>
        <w:br/>
        <w:t>Det var något dunkelt i ecklesiastikministerns tankegång. Jag har rätt svårt att förstå honom, då han ställde mitt uppträdande i denna fråga i samband med personliga obehag, som jag skulle haft vid de folkbildningssakkunnigas utredningsarbete. Jag vet inte, vad ecklesiastikministern grundade sin uppfattning på, då han ville göra gällande, att de personliga obehag jag skulle haft i samband med folkbildningsarbetet skulle ha inverkat på min ärliga strävan i fråga om främjande av dessa saker och ting. Jag får dock säga, att icke kan mitt uppträdande just nu giva stöd åt en sådan förmodan, då även ecklesiastikministern torde förstå, att jag här just understött den tankegång, som skolöverstyrelsen gjort sig till tolk för på grundvalen av den utredning som jag haft personliga obehag för. Skolöverstyrelsen har visat, att det är ett trängande behov, som det är fråga om, och följaktligen icke någonting, som går att skjuta åt sidan ytterligare ett par eller tre år. Denna statsverksproposition ger inte den ringaste antydan om den hjälp, som borde ha kommit från regeringshåll och som föregående regeringar alltid visat sig mycket angelägna att lämna, så långt omständigheterna det medgivit.</w:t>
        <w:br/>
        <w:br/>
        <w:t>Jag finner således, herr talman, att den första av mina anmärkningar fått ett helt och hållet undvikande svar, som inte tagit sikte på det som det är fråga om, och att min andra anmärkning fått ett svar, som inte ställer regeringens intresse för denna sak i en fördelaktigare dager.</w:t>
      </w:r>
    </w:p>
    <w:p>
      <w:pPr>
        <w:pStyle w:val="Heading2"/>
      </w:pPr>
      <w:r>
        <w:t>3. Johan Bergman (Liberala samlingspartiet, man)</w:t>
      </w:r>
    </w:p>
    <w:p>
      <w:r>
        <w:rPr>
          <w:b w:val="0"/>
        </w:rPr>
        <w:t>Herr talman! Herrar socialdemokrater äro i afton synnerligen onådiga mot ecklesiastikministern. De ha varit det en längre tid, dels i sin egen press och dels i välvilligt upplåtna spalter i högerpressen. Nu skall jag icke närmare inlåta mig på en lösning av den mer eller mindre intressanta fixeringsbildgåta, som herr Olof Olsson framställde, nämligen vad det kan vara för ett ansikte, som skymtar fram bakom de olika Ppropositionerna och framställningarna i skolfrågan. Herr Olof Olsson gjorde gällande, att det icke varit hans mening att säga, att ansiktet »haft skägg». Nog finns »skägget» där, någon sorts skägg, men det var kanske det röda helskägget, som han av någon anledning icke ville finna. Skolutskottsmajoritetens förslag, vilket statsrådet i våras livligt och med anmärkningsvärd själv-</w:t>
        <w:br/>
        <w:br/>
        <w:t>övervinnelse Hilde riksdagen att acceptera, med förkastande av hans eget Statsverksproförslag, bar alldeles obestridligt den socialdemokratiska motionens ganska RE skäggiga signatur. Jag tycker därför, att det är synnerligen otacksamt av (Forts herrar socialdemokrater att angripa skolministern så som de gjort, men det</w:t>
        <w:br/>
        <w:br/>
        <w:t>må vara en sak mellan dem och honom. För övrigt tycker jag, att han svarat</w:t>
        <w:br/>
        <w:br/>
        <w:t>ganska reellt på de gjorda angreppen.</w:t>
        <w:br/>
        <w:br/>
        <w:t>En annan sak är emellertid, att åtskilliga underliga resultat av skolbeslutet i våras så småningom börja att komma till synes, och dessa visa redan nu ofrånkomligt, huru rätt vi hade, som då voro reservanter och önskade, att man först skulle verkställa utredningen, innan man fattade beslutet, i stället för att först fatta beslut och komma med utredningen efteråt. Så har man t. ex. under höstens lopp skickat ut remisser till läroverkskollegierna med anmodan till dem att uttala sig angående skolkommissionens och de skolsakkunnigas undervisningsplaner beträffande gymnasierna. Denna framställning är i högsta grad egendomlig, därför att, efter det beslut, som fattats av riksdagen och stadfästats av Kungl. Maj:t, varken skolkommissionens eller de skolsakkunnigas undervisningsplaner för gymnasiet längre äro aktuella. I överensstämmelse med den socialdemokratiska motionen beslöt nämligen riksdagen en helt annan struktur av gymnasierna än dessa kommitterade utgått ifrån, och följaktligen är det under sådana förhållanden meningslöst att nu begära uttalanden om deras redan överkorsade planer. Det har också väckt allmän undran inom kollegierna och vad skulle de väl svara på denna högst besynnerliga fråga? Riksdagen accepterade för övrigt ett förslag, som endast var ett löst utkast utan utredning, och beträffande vilket förslag en utredningskommitté är tillsatt för att sätta närmare fason på det. Att då, innan man vet till vilket resultat denna kommité kommer, begära, att kollegierna skola yttra sig, förefaller fullkomligt bakvänt. Jag kan icke annat än uttrycka mitt beklagande över en åtgärd sådan som denna, som icke synes mig vittna om tillräcklig eftertänksamhet eller klokhet. Egendomlig är också statsrådets passivitet i lärarkårernas lönefrågor.</w:t>
        <w:br/>
        <w:br/>
        <w:t xml:space="preserve">Däremot är det en annan åtgärd, för vilken jag vill giva ecklesiastikministern det bästa erkännande, nämligen den åtgärden, att han slagit till reträtt i en av de punkter, där beslutet i skolfrågan var alldeles orimligt. Det är i den punkten, där det gäller att fixera viss proportion mellan manliga och </w:t>
      </w:r>
      <w:r>
        <w:rPr>
          <w:b/>
        </w:rPr>
        <w:t>kvinnliga¹</w:t>
      </w:r>
      <w:r>
        <w:rPr>
          <w:b w:val="0"/>
        </w:rPr>
        <w:t xml:space="preserve"> lärare vid läroverken, vilka ju enligt riksdagens beslut 1 synnerligen stor utsträckning hädanefter skola bli samläroverk. Det hade blivit en rent orimlig proportion, som helt plötsligt skapats, ifall det som beslutats, oförändrat kommit att tillämpas. Det skulle blivit en uppsjö på </w:t>
      </w:r>
      <w:r>
        <w:rPr>
          <w:b/>
        </w:rPr>
        <w:t>kvinnliga¹</w:t>
      </w:r>
      <w:r>
        <w:rPr>
          <w:b w:val="0"/>
        </w:rPr>
        <w:t xml:space="preserve"> lärare och ett så starkt reducerat antal manliga att det icke stode i rimligt förhållande till det stora antalet </w:t>
      </w:r>
      <w:r>
        <w:rPr>
          <w:b/>
        </w:rPr>
        <w:t>kvinnliga¹</w:t>
      </w:r>
      <w:r>
        <w:rPr>
          <w:b w:val="0"/>
        </w:rPr>
        <w:t xml:space="preserve">. Frågan är, huruvida det ens finnes tillgång på kompetenta sökande till alla de åt </w:t>
      </w:r>
      <w:r>
        <w:rPr>
          <w:b/>
        </w:rPr>
        <w:t>kvinnor¹</w:t>
      </w:r>
      <w:r>
        <w:rPr>
          <w:b w:val="0"/>
        </w:rPr>
        <w:t xml:space="preserve"> reserverade platserna, under det att en hel massa manliga extralärare fått se sina befordringsutsikter i högsta grad förmörkade. De ha nu framfört sina bekymmer inför Kungl. Maj:t, och med glädje kan man konstatera, att ecklesiastikministern ställt i utsikt att tillmötesgå deras önskan, i den mån på honom ankommer. Detta är värt allt erkännande, men på samma gång ger ju redan denna just nu aktuella punkt också ett synnerligen påtagligt vittnesbörd om hur oklokt statsrådet handlade i våras, då han var så angelägen, att man skulle fatta ett sådant förhastat beslut, utan att utredning verkställts om vad följderna skulle bli. Jag kan endast uttala den önskan, att i de andra punkter, där man framdeles kommer att märka dylika orimligheter — och förr eller senare kommer man säkert att göra det i flera avseenden — samma klokhet och vaknande eftertänksamhet, som ha präglat den utfästelse herr statsrådet nu omsider gjort i denna fråga, måtte få göra sig gällande.</w:t>
        <w:br/>
        <w:br/>
        <w:t>Medan Jag nu är inne på detta spörsmål, skall jag till sist be att få göra en något vidare gående reflexion. Den gäller icke bara skolbeslutet, utan i allmänhet Kungl. Maj:ts handläggning av riksvårdande ärenden. En av de allvarligaste anmärkningar, som man kan rikta mot regeringen — inte bara denna, utan även andra, som suttit på senare tiden är, förefaller det mig, en viss brist på samarbete mellan regeringens olika medlemmar. Det utvecklar sig mer och mer ett system av regeringspartikularism, vilket må vara förklarligt till följd av det år efter år alltmer hopade arbete, som belastar varje departementschef och varje statsråd. Det ser ut som om den ena handen inte skulle veta, vad den andra gör. Visserligen står det alltjämt i statsrådsprotokollen, att »statsrådets övriga medlemmar instämde med den föredragande», men vad betyder numera i själva verket denna fras? Det är för den stora allmänheten ofantligt svårt att föreställa sig, att t. ex. den lysande kulturrepresentant, som i regeringen för närvarande omhänderhar justitieministerportföljen, kan med full vetskap om vad han gjorde och med själ och hjärta ha varit med om en sådan åtgärd som skolbeslutet, vilket kommer att på ett beklagligt sätt sänka vår bildningsnivå i flera viktiga avseenden och bl. a. vad kunskaperna i främmande språk beträffar — detta i en tid, som högre än 1 någon föregående tid ropar på bättre och mera omfattande språkundervisning. Emellertid ligger förklaringen otvivelaktigt däri, att en departementschef numera anser sig böra lämna åsido de frågor, som icke höra under hans departement, överbelastad som han är med sitt eget. Han är hänvisad till de informationer, som han kan få i större eller mindre hast vid de överläggningar, som kunna hållas i statsrådsberedningen. Detta gör, att man måste ställa mycket stora anspråk dels på de särskilda departementschefernas samvetsgrannhet, kunskaper och kvalifikationer i avseende på deras egna departementsfrågor och dels även på noggrannheten i de informationer, som 1 väsentliga huvudpunkter ges vid dessa gemensamma överläggningar.</w:t>
        <w:br/>
        <w:br/>
        <w:t>Det förefaller en utanför stående som om det skulle brista något i det sistnämnda avseendet och som om dessa brister skulle ha blivit allt större år efter år. Det gäller, som sagt, dock icke uteslutande denna regering. Det är olägenheter, som varje regering naturligtvis har svårt att bemästra, med det oerhört växande materialet, men något måste i alla fall göras för att hindra den sänkning av regeringsmaktens prestige, som missförhållandet innebär. Det måste ställas en alldeles bestämd fordran, synes det mig, att då en fråga av särskilt stor och principiell vikt förberedes av regeringen, densamma i tillräckligt god tid blir föremål för ingående överläggningar, framför allt inom regeringen, men också därutanför, så att det kan bli offentlig diskussion om saken åtminstone bland dem som saken närmast gäller. Som det nu var, rådde det i den fråga, som närmast ger mig anledning till dessa reflexioner — skolfrågan — en preventiv sekretess, som blev ganska olycksbringande. Man fick höra, en tid innan förslaget framlades, att det skulle gälla några obetydligare saker. Sedan hette det visserligen, att »vissa grundläggande frågor» skulle komma att framläggas, men man visste dock inte vad det var. Nog hade det varit önskvärt, för att undvika ett sådant oerhört förhastande, som ägde rum i frågan, att man på ett tidigare stadium fått reda på vad som åsyftades, så att diskussionen kunde ha bidragit till att göra riksdagen litet mera informerad än den var, när den gick till det ödesdigra beslutet.</w:t>
      </w:r>
    </w:p>
    <w:p>
      <w:pPr>
        <w:pStyle w:val="Heading2"/>
      </w:pPr>
      <w:r>
        <w:t>4. John Almkvist (Frisinnade folkpartiet, man)</w:t>
      </w:r>
    </w:p>
    <w:p>
      <w:r>
        <w:rPr>
          <w:b w:val="0"/>
        </w:rPr>
        <w:t>De repliker, som riktats mot mig med anledning av mitt förra anförande, föranleda från min sida intet annat svar, än att jag ber att få erinra herr Olof Olsson därom, att till regeringens förfogande står ett belopp av 28,000 kronor eller något däröver, avsett att göra det möjligt för regeringen att, så snart från någon av de i propositionen nämn-</w:t>
        <w:br/>
        <w:br/>
        <w:t>som här kunna komma i fråga, har kommit så långt med förberedelserna, att</w:t>
        <w:br/>
        <w:br/>
        <w:t>Fn öäser sig kunna när som helst inrätta ett högre allmänt läroverk för ickor.</w:t>
      </w:r>
    </w:p>
    <w:p>
      <w:pPr>
        <w:pStyle w:val="Heading2"/>
      </w:pPr>
      <w:r>
        <w:t>5. Olof Olsson (Socialdemokraterna, man)</w:t>
      </w:r>
    </w:p>
    <w:p>
      <w:r>
        <w:rPr>
          <w:b w:val="0"/>
        </w:rPr>
        <w:t xml:space="preserve">Herr talman! Den upplysning, som herr statsrådet och chefen för ecklesiastikdepartementet nu gav, kan endast avse de fyra läroverk, som funnos angivna i den kungl. propositionen. I fråga om de övriga nio har riksdagen begärt, att till 1928 års riksdag få en plan om anordnandet av dessa, och jag förmodar, att riksdagen vill se den planen, innan någon av de namngivna orterna får ett högre allmänt </w:t>
      </w:r>
      <w:r>
        <w:rPr>
          <w:b/>
        </w:rPr>
        <w:t>flickläroverk²</w:t>
      </w:r>
      <w:r>
        <w:rPr>
          <w:b w:val="0"/>
        </w:rPr>
        <w:t>.</w:t>
        <w:br/>
        <w:br/>
        <w:t>Till vederbörande utskott skulle jämväl överlämnas de i anledning av propositionen inom kammaren nu avgivna yttrandena.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545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