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1755</w:t>
      </w:r>
    </w:p>
    <w:p>
      <w:r>
        <w:rPr>
          <w:b/>
        </w:rPr>
        <w:t xml:space="preserve">Datum: </w:t>
      </w:r>
      <w:r>
        <w:t>1928-02-22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Öberg (Lantmanna- och borgarepartiet inom andrakammaren, man)</w:t>
      </w:r>
    </w:p>
    <w:p>
      <w:r>
        <w:rPr>
          <w:b w:val="0"/>
        </w:rPr>
        <w:t>Herr talman! Då herr Samuelsson här huvudsakligen har sysselsatt sig med kammarens fjärde tillfälliga utskotts utlåtande rörande hans motion och ägnat utskottet en viss uppmärksamhet i dess ställningstagande till denna motion, synes det mig vara på sin plats att framhålla, att det hade varit riktigare, om han med sitt intresse för saken hade tagit till orda, när detta utskottsutlåtande förelåg till behandling inom kammaren, så hade han icke kommit så här efteråt då den icke föreligger till behandling, och när vi, som sagt, äro sysselsatta med ett annat utskottsutlåtande.</w:t>
        <w:br/>
        <w:br/>
        <w:t xml:space="preserve">Vad då sedermera beträffar den motion, som framförts av </w:t>
      </w:r>
      <w:r>
        <w:rPr>
          <w:b/>
        </w:rPr>
        <w:t>fru²</w:t>
      </w:r>
      <w:r>
        <w:rPr>
          <w:b w:val="0"/>
        </w:rPr>
        <w:t xml:space="preserve"> Vessman och utskottets ställningstagande till densamma, torde det vara tillräckligt att, när motionären icke gjort något yrkande, framhålla, att den redovisning för motionens behandling, som utskottet givit i sitt utlåtande, om att frågan är under</w:t>
        <w:br/>
        <w:br/>
        <w:t>utredning hos Kungl. Maj:t, bör vara tillräcklig. Vi kunna litet var lugnt avvakta vad Kungl. Maj:t i det fallet kan komma att göra. De inlägg, som här i dag ha gjorts av de ärade talarinnorna som torde tillmätas ett visst värde, kommer nog att beaktas vid den nu pågående utredning, som snarligen torde föreligga.</w:t>
        <w:br/>
        <w:br/>
        <w:t>Herr talman, jag ber att få yrka bifall till utskottets hemställan.</w:t>
      </w:r>
    </w:p>
    <w:p>
      <w:pPr>
        <w:pStyle w:val="Heading2"/>
      </w:pPr>
      <w:r>
        <w:t>2. Robert Samuelsson (Sveriges kommunistiska parti, man)</w:t>
      </w:r>
    </w:p>
    <w:p>
      <w:r>
        <w:rPr>
          <w:b w:val="0"/>
        </w:rPr>
        <w:t xml:space="preserve">Ja, herr talman, jag vill bara säga att andra lagutskottet visat så mycket intresse för min motion att utskottet åberopat den i motiveringen, och även använt fjärde tillfälliga utskottets avslagsyrkande på min motion som skäl för sitt ställningstagande till denna motion av </w:t>
      </w:r>
      <w:r>
        <w:rPr>
          <w:b/>
        </w:rPr>
        <w:t>fru²</w:t>
      </w:r>
      <w:r>
        <w:rPr>
          <w:b w:val="0"/>
        </w:rPr>
        <w:t xml:space="preserve"> Vessman. I anledning härav har jag ansett, att det fanns många skäl, som talade för att gå in i bemötande av den motivering, som andra lagutskottet framkastat för att komma till ett avslagsyrkande.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