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556</w:t>
      </w:r>
    </w:p>
    <w:p>
      <w:r>
        <w:rPr>
          <w:b/>
        </w:rPr>
        <w:t xml:space="preserve">Datum: </w:t>
      </w:r>
      <w:r>
        <w:t>1928-04-09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Assar Åkerman (Socialdemokraterna, man)</w:t>
      </w:r>
    </w:p>
    <w:p>
      <w:r>
        <w:rPr>
          <w:b w:val="0"/>
        </w:rPr>
        <w:t>Jag anhåller att få yrka bifall till utskottets förslag.</w:t>
        <w:br/>
        <w:br/>
        <w:t xml:space="preserve">Vär arvlåtaren gift och lämnar ej efter sig bröstarvinge, ärve andra maken hälften av kvarlåtenskapen, om efter den döde finnes fader eller </w:t>
      </w:r>
      <w:r>
        <w:rPr>
          <w:b/>
        </w:rPr>
        <w:t>moder²</w:t>
      </w:r>
      <w:r>
        <w:rPr>
          <w:b w:val="0"/>
        </w:rPr>
        <w:t xml:space="preserve"> eller syskon eller dess avkomling, men eljest hela kvarlåtenskapen.</w:t>
      </w:r>
    </w:p>
    <w:p>
      <w:pPr>
        <w:pStyle w:val="Heading2"/>
      </w:pPr>
      <w:r>
        <w:t>2. Georg Bissmark (Första kammarens nationella parti, man)</w:t>
      </w:r>
    </w:p>
    <w:p>
      <w:r>
        <w:rPr>
          <w:b w:val="0"/>
        </w:rPr>
        <w:t>Herr talman! Jag har för min del ingenting att erinra emot den princip, som här har införts, att make skall ha arvsrätt efter make, när det endast finnes sådana arvingar, som tillhöra andra parentelen. Jag tror nämligen, att det är en ganska utbredd uppfattning, att make bör ha företräde i detta fall. Den mängd testamenten, som äro uppgjorda till förmån för den efterlevande maken, vittnar härom, och jag har en ganska bestämd uppfattning, att i många av de fall, där testamente inte förekommer, detta beror på att vederbörande inte har tänkt sig, att skilsmässan skulle komma så tidigt. Det gäller vanligtvis unga makar, som ha litat på att deras tid skulle bli längre. Jag tror alltså man kan säga, att det är en allmänt utbredd uppfattning, att make bör ha företräde framför föräldrar och syskon eller deras avkomlingar, men man bör därvidlag inte gå längre än vad som enligt de allmännast förekommande testamentena brukar gälla såsom makes vilja. Det är, såsom före-</w:t>
        <w:br/>
        <w:br/>
        <w:t>slagits i den kungl. propositionen, på det sättet, att det skall bli en sekundo- Förslag till lag arvsrätt för släktingar, tillhörande andra parentelen. om arv m. m.</w:t>
        <w:br/>
        <w:br/>
        <w:t xml:space="preserve">Nu har emellertid utskottet här strukit de bestämmelser, som Kungl. Maj:ts (Forts. proposition upptagit för att garantera släktens intresse av att de tillgångar. till vilka släkten har sekundosuccession, verkligen skola komma släkten till godo, och jag förstår mycket väl de skäl, som ha anförts för en dylik strykning av bestämmelserna. Man har befarat tvister i det oändliga. Emellertid vill jag påpeka, att utskottet i tredje paragrafen vidtagit en så väsentlig förändring av det kungl. förslaget, att man där endast föreskriver vederlag för det fall, att den efterlevande maken har genom gåva eller därmed jämförlig handling uppsåtligen avsevärt minskat kvarlåtenskapen. Det gäller alltså bestämda fall, som torde vara mycket lätta att konstatera. Med denna ändring har faran för att ett avskiljningsförfarande skulle kunna inverka menligt på sammanlevnaden mellan den efterlevande maken och den avlidnes släktingar i hög grad undanröjts. Likväl får jag medgiva, att bestämmelsen i den kungl. propositionen, med den lydelse den har i 2 kap. 5 $, är väl vidsträckt. För min del hade jag tänkt mig, att man skulle kunna väsentligt begränsa användningen av avskiljningsförfarandet genom att man gjorde dess begagnande beroende av alt den efterlevande maken, i dolös avsikt uppsåtligen orsakat väsentlig minskning av sitt gods. Om man vidtar denna synnerligen avsevärda begränsning, torde de fall vara högst få, då ansökan om ett avskiljningsförfarande kan med något som helst skäl riktas mot en lojal make. Man behöver ej heller befara att obefogade ansökningar mot en lojal make skola framkomma, då sådana äro fullständigt utsiktslösa. Det finnes särskilt ett skäl som gör. att jag anser, att man inte bör helt och hållet undanröja bestämmelsen om avskiljning, och det är hänsynen till det fall, då den efterlevande maken ingår nytt gifte. Enligt förslaget skulle i så fall arvingarna och även maken själv kunna begära avskiljning. Om man ser på de testamenten, som äro uppgjorda till förmån för den efterlevande maken, så innehålla degsa testamenten ofta, särskilt på landet, den bestämmelsen, att när make ingår nytt gifte, skall skifte ske, även om testamentet givit make oinskränkt förfoganderätt över förmögenheten. Jag tror, att det psykologiskt ligger rätt nära till hands för makar att vilja ha det på det sättet, i syfte att en efterlevande makes kommande man eller </w:t>
      </w:r>
      <w:r>
        <w:rPr>
          <w:b/>
        </w:rPr>
        <w:t>hustru²</w:t>
      </w:r>
      <w:r>
        <w:rPr>
          <w:b w:val="0"/>
        </w:rPr>
        <w:t xml:space="preserve"> icke skall draga egendomen från släkten. TI händelse av nytt äktenskap, komma också svårigheterna att hålla i sär de olika förmögenhetsmassorna att bli oerhört stora, och de torde komma att yppa sig trots de bestämmelser, som man här infört i andra kapitlet i avsikt att få någon reda på den punkten. För min del hyser jag alltså den uppfattningen, att man bör behålla avskiljningsförfarandet, särskilt med hänsyn till nya äktenskap, men även med hänsyn tiil dolöst förfarande från den efterlevande makens sida.</w:t>
        <w:br/>
        <w:br/>
        <w:t xml:space="preserve">Vidare skulle jag vilja ha den förändringen vidtagen i 5 $ enligt Kungl. Maj:ts proposition — jag tillåter mig, herr talman, yttra mig om det hela, fastän vi nu behandla 1 $, då hela kapitlet får ses som en enhet — att efterlevande make när som helst skall kunna begära avskiljning. Därigenom vinner man, att make, om det skulle bli något trassel med arvingarna, kan få den från mannen ärvda egendomen avskild som särskild förmögenhetsmassa och njuta dess avkastning. På så sätt har ju maken fullkomligt ur arvingarnas händer vridit alla de vapen, med vilka de skulle kunna trakassera </w:t>
      </w:r>
      <w:r>
        <w:rPr>
          <w:b/>
        </w:rPr>
        <w:t>henne²</w:t>
      </w:r>
      <w:r>
        <w:rPr>
          <w:b w:val="0"/>
        </w:rPr>
        <w:t xml:space="preserve"> eller honom.</w:t>
        <w:br/>
        <w:br/>
        <w:t>Jag kommer alltså att efter föredragning av fjärde paragrafen framställa yrkande om, att 5—9 $$ i Kungl. Maj:ts förslag måtte godkännas, 5 $ dock med följande ändrade lydelse: »Har efterlevande maken genom gåva eller annan åtgärd, i syfte att draga egendom undan den först avlidnes arvingar, orsakat väsentlig minskning av sitt gods eller fara för sådan minskning, för-</w:t>
        <w:br/>
        <w:br/>
        <w:t>ordne rätten etc. — — -— lagen om förmynderskap. Samma lag vare, om efterlevande maken träder i nytt gifte och ansökan om avskiljande göres inom ett år därefter.</w:t>
        <w:br/>
        <w:br/>
        <w:t>Förordnande om avskiljande skall städse meddelas, om efterlevande maken det begär eller ock medgiver skyldemans därom gjorda ansökan.»</w:t>
        <w:br/>
        <w:br/>
        <w:t>Såsom en följd av detta yrkande kommer också 10 8 att behöva ändras till överensstämmelse med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