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557</w:t>
      </w:r>
    </w:p>
    <w:p>
      <w:r>
        <w:rPr>
          <w:b/>
        </w:rPr>
        <w:t xml:space="preserve">Datum: </w:t>
      </w:r>
      <w:r>
        <w:t>1928-04-09</w:t>
      </w:r>
    </w:p>
    <w:p>
      <w:r>
        <w:rPr>
          <w:b/>
        </w:rPr>
        <w:t xml:space="preserve">Kammare: </w:t>
      </w:r>
      <w:r>
        <w:t>Första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Såsom kammaren behagade finna har jag jämte en annan av utskottsledamöterna anfört en reservation, som återfinnes i utlåtandet på sid. 75 och 76 och i vilken vi taga upp en skrivelse, som riksdagen avlät redan år 1917. Riksdagen beslöt nämligen då att anhålla om en förutsättningslös utredning, huruvida och under vilka villkor barn utom äktenskapet skulle njuta arv efter fader. Nu säges i propositionen, att detta ärende sedan dess har kommit i ett nytt läge och det i två olika avseenden. Först och främst har de utomäktenskapliga barnens ställning blivit i avsevärd mån förbättrad, sedan riksdagens skrivelse avläts; man har såsom exempel härpå anfört, att i omkring 93 procent av samtliga fall har faderskapet och därpå grundad underhållsskyldighet kunnat fastställas. Vidare hänvisar man till att enligt den nu antagna lagen icke blott trolovningsbarn skulle äga arvsrätt utan även sådana barn, beträffande vilka fadern har avgivit på visst sätt avfattad förklaring, att barnet skall hava samma rätt till arv efter honom som barn av äktenskaplig börd. Dessutom har man velat göra gällande, att om vi vilja gå längre och införa arvsrätt för barn i vidare mån, måste man också gå in för den s. k. exceptio plurium, och den ledsamma historien vill man gärna slippa här i Sverige. I detta sista kan jag helt och hållet instämma, ty den är icke vidare uppbygglig. Men vi reservanter ha menat, att det krav, som riksdagen framförde 1917, trots de förbättringar, som på området inträtt, ännu dock har en sådan styrka, att riksdagen borde förnya den skrivelse, som den 1917 avlät. Vi kunna icke komma ifrån, att det innebär en orättvisa mot dessa barn, att de äro utestängda från övriga barns rätt, nämligen att få ärva fadern. De äro ju fullständigt utan skuld till sin till-</w:t>
        <w:br/>
        <w:br/>
        <w:t>varo. Man må klandra föräldrarna och kalla dem lösaktiga eller vad som Förslag till lag helst, men det stackars barnet rår inte för att det kommit till världen. Och?” Are Mo. erfarenheten visar väl, att dessa barn ha oändligt mycket svårare att göra = (Fort) sig gällande i livet, att deras start i livet, deras utveckling och uppväxt sker under betydligt svårare förhållanden än andra barns. Det borde därför vara samhällets plikt att se till, att de så långt som möjligt även ekonomiskt få den utrustning, som de kunna behöva för att slå sig fram i världen.</w:t>
        <w:br/>
        <w:br/>
        <w:t>Nu råder ofta det beklagliga förhållandet, att fadern mycket litet känner sitt ansvar för sitt barn och att han försöker draga sig undan att erlägga den betalning för barnets underhåll, som han är skyldig att lämna. Många fäder erlägga den ju ordentligt, men det förekommer även exempel på vad jag antydde. Men att ett sådant förhållande existerar kan enligt reservanternas mening icke på något sätt åberopas för att fritaga fäderna från deras skyldighet att också genom arv sörja för barnets framtid vid faderns frånfälle.</w:t>
        <w:br/>
        <w:br/>
        <w:t xml:space="preserve">För att komma ifrån den ledsamma historien med exceptio plurium hava vi inskränkt vårt krav på arvsrätt för de utomäktenskapliga barnen i rätt betydlig grad. Vi ha uttalat önskemål om att en sådan arvsrätt skulle komma i fråga först och främst för barn till föräldrar, som under åratal levat tillsammans såsom man och </w:t>
      </w:r>
      <w:r>
        <w:rPr>
          <w:b/>
        </w:rPr>
        <w:t>hustru²</w:t>
      </w:r>
      <w:r>
        <w:rPr>
          <w:b w:val="0"/>
        </w:rPr>
        <w:t>, och vidare för utomäktenskapliga barn i de fall, då faderskapet blivit otvetydigt erkänt. Genom dessa begränsningar ha vi sålunda totalt förebyggt den svårigheten, att ett införande av arvsrätt åt barnen skulle behöva nödvändiggöra tillåtande av exceptio plurium.</w:t>
        <w:br/>
        <w:br/>
        <w:t>Det förefaller mig, som om en på detta sätt genomförd begränsning av det krav, som riksdagen redan 1917 uttalade, borde även av 1928 års riksdag kunna godtagas. Jag skall därför be, herr talman, att få yrka bifall till det skrivelseförslag, som återfinnes i vår reservation, vilken är anförd på sid. 75 och 76 i utlåtandet och som huvudsakligen innebär ett upprepande i begränsad omfattning av den skrivelse, som riksdagen avlät 1917.</w:t>
      </w:r>
    </w:p>
    <w:p>
      <w:pPr>
        <w:pStyle w:val="Heading2"/>
      </w:pPr>
      <w:r>
        <w:t>2. Georg Bissmark (Första kammarens nationella parti, man)</w:t>
      </w:r>
    </w:p>
    <w:p>
      <w:r>
        <w:rPr>
          <w:b w:val="0"/>
        </w:rPr>
        <w:t xml:space="preserve">Herr talman! Då vi förut i dag behandlade kusinarvet, uteslötos kusinerna från arvsrätt, ehuru man, såsom det framgick av herr statsrådets anförande, erkände, att det inom vida kretsar av befolkningen mellan kusiner förekom den ekonomiska och sociala samhörighet, som jämte blodsbandet borde vara en förutsättning för arvsrätten. Man ansåg nämligen, att man borde skära bort så mycket som möjligt för att sedan desto säkrare få behålla arvsrätten 1 övrigt. Här åberopar man som grund för arvsrätten blodsbandet jämte den ekonomiska och sociala samhörighet, som borde finnas men som icke finnes. Man säger, att det borde finnas en samhörighet emellan barnet och fadern i detta fall, men man erkänner, att en sådan samhörighet vanligen icke finnes. Varpå beror det? Jo, naturligtvis på livets lagar, som icke låta kommendera sig av några maximer. Den bristande samhörigheten är ett faktum, och jag vill mycket starkt ifrågasätta, om det verkligen i de flesta fall vore önskligt, att en sådan samhörighet upprätthölles i den utsträckning, som reservanterna tyckas anse vara eftersträvansvärd. Kunde det vara så lämpligt, om ett utom äktenskapet fött barn växer upp tillsammans med t. ex. sin moders familj, sedan </w:t>
      </w:r>
      <w:r>
        <w:rPr>
          <w:b/>
        </w:rPr>
        <w:t>hon²</w:t>
      </w:r>
      <w:r>
        <w:rPr>
          <w:b w:val="0"/>
        </w:rPr>
        <w:t xml:space="preserve"> gift sig, och </w:t>
      </w:r>
      <w:r>
        <w:rPr>
          <w:b/>
        </w:rPr>
        <w:t>hennes²</w:t>
      </w:r>
      <w:r>
        <w:rPr>
          <w:b w:val="0"/>
        </w:rPr>
        <w:t xml:space="preserve"> f. d. älskare skall hålla sig i nära kontakt med </w:t>
      </w:r>
      <w:r>
        <w:rPr>
          <w:b/>
        </w:rPr>
        <w:t>henne²</w:t>
      </w:r>
      <w:r>
        <w:rPr>
          <w:b w:val="0"/>
        </w:rPr>
        <w:t xml:space="preserve"> och barnet samt lägga sig i dettas uppfostran och därigenom kanske framkalla split och otrevnad i den familj, där barnet fått sitt hem. Det är vida naturligare, att barnet växer samman med de syskon det kan få i detta hem och slipper att allt för mycket påminnas om sitt ursprung. Om mannen gifter sig och </w:t>
      </w:r>
      <w:r>
        <w:rPr>
          <w:b/>
        </w:rPr>
        <w:t>kvinnan¹</w:t>
      </w:r>
      <w:r>
        <w:rPr>
          <w:b w:val="0"/>
        </w:rPr>
        <w:t xml:space="preserve"> förblir ogift, kan det icke heller annat än väcka split och otrevnad, ifall mannen skall ägna sig åt omsorgen om den familj han har på annat håll. Det är bättre</w:t>
        <w:br/>
        <w:br/>
        <w:t>ligen att det som allmän regel är önskvärt att bevara denna samhörighet. Jag tror, att frågan har lösts efter naturliga lagar och på det sätt, som är bäst för samhället. Jag vågar bestrida, att den grund, som här åberopats för arvsrätt, är hållbar.</w:t>
        <w:br/>
        <w:br/>
        <w:t>Nu framhölls emellertid, att man, för övrigt i överensstämmelse med vad den kungl. propositionen innehåller, borde kunna vara med om en utvidgning av arvsrätten i sådana fall, där faderskapet är otvetydigt. Jag har fattat det så, att bestämmelserna i den kungl. propositionen just ha gått ut på att det skulle föreligga ett otvetydigt erkännande från faderns sida och att i så fall arvsrätt skulle tillkomma barnet. Detta förslag har ju nyss av kammaren godkänts. När man antager en lag, som förverkligar just detta önskemål, att arvsrätt skall föreligga, då faderskapet är otvetydigt erkänt, vad menar man då med att samtidigt föreslå en skrivelse och begära en ändring av denna lag? Är det icke att gå något för hastigt tillväga? Om man icke ansett sig hinna utarbeta en formulering av bestämmelsen i 3 kap., som bättre uttryckte vad man här eftersträvar, förmodar jag, att det särskilt varit hänsynen till konkubinatsbarnen, som gjort, att man ställt sig tveksam. Beträffande konkubinatsbarnen anser man, att faderskapet är så pass otvetydigt, att det i normala fall icke bör råda någon tvekan därom. Ja, det kan ju många gånger vara riktigt, men jag vill dock erinra om att det finnes många olika grader av lösa förbindelser, så att det även därvidlag torde vara starkt av behovet påkallat, att man fordrar ett otvetydigt erkännande av faderskapet.</w:t>
        <w:br/>
        <w:br/>
        <w:t xml:space="preserve">Men därtill kommer, att man ofta, när man vill göra gott i en riktning, verkar ont på ett annat håll. Vad som driver människor till att legalisera lösa förbindelser, är ofta just hänsynen till barnen. Det sker för att bereda dem en sådan ställning, att de skola kunna få arvsrätt och icke ha den fläcken över sig, att de äro födda utom äktenskapet, om man nu skall kalla det en fläck. Vad blir följden, om man undanröjer detta motiv, genom att giva barnen i alla avseenden samma ställning som inom äktenskapet födda barn? Jo, dylika lösa förbindelser komma icke att i på långt när samma utsträckning som nu legaliseras, och vilken går det ut över? Jo, det går ut över </w:t>
      </w:r>
      <w:r>
        <w:rPr>
          <w:b/>
        </w:rPr>
        <w:t>kvinnan¹</w:t>
      </w:r>
      <w:r>
        <w:rPr>
          <w:b w:val="0"/>
        </w:rPr>
        <w:t xml:space="preserve">. Det är </w:t>
      </w:r>
      <w:r>
        <w:rPr>
          <w:b/>
        </w:rPr>
        <w:t>hon²</w:t>
      </w:r>
      <w:r>
        <w:rPr>
          <w:b w:val="0"/>
        </w:rPr>
        <w:t xml:space="preserve">, som då blir lidande. </w:t>
      </w:r>
      <w:r>
        <w:rPr>
          <w:b/>
        </w:rPr>
        <w:t>Hon²</w:t>
      </w:r>
      <w:r>
        <w:rPr>
          <w:b w:val="0"/>
        </w:rPr>
        <w:t xml:space="preserve"> får icke den arvsrätt, som lagen tillförsäkrar </w:t>
      </w:r>
      <w:r>
        <w:rPr>
          <w:b/>
        </w:rPr>
        <w:t>hustrun²</w:t>
      </w:r>
      <w:r>
        <w:rPr>
          <w:b w:val="0"/>
        </w:rPr>
        <w:t xml:space="preserve">, och </w:t>
      </w:r>
      <w:r>
        <w:rPr>
          <w:b/>
        </w:rPr>
        <w:t>hon²</w:t>
      </w:r>
      <w:r>
        <w:rPr>
          <w:b w:val="0"/>
        </w:rPr>
        <w:t xml:space="preserve"> kommer alltså att i många fall få en sämre ställning än </w:t>
      </w:r>
      <w:r>
        <w:rPr>
          <w:b/>
        </w:rPr>
        <w:t>hon²</w:t>
      </w:r>
      <w:r>
        <w:rPr>
          <w:b w:val="0"/>
        </w:rPr>
        <w:t xml:space="preserve"> skulle få, om vi icke taga denna hänsyn till barnen. Jag är övertygad om att i och med införandet av bestämmelser i den riktning, som här föreslagits, skulle antalet lösa förbindelser bliva större än det är för närvarande. Jag erinrar om vad herr statsrådet och chefen för justitiedepartementet nämnde om att en upplösning av samhället kan komma inifrån familjen oberoende av arvsrättens begränsning. Jag vill icke säga, att man direkt banar väg för en sådan upplösning, men man underlättar den dock i viss mån genom bestämmelser i den riktning, som i skrivelsen föreslagits.</w:t>
        <w:br/>
        <w:br/>
        <w:t xml:space="preserve">Det är en allmän uppfattning hos dem, som kämpa för de utomäktenskapliga barnens arvsrätt, att det är en akt av rättvisa att bereda dem sådan, och allt som har en karaktär av abstrakt rättvisa, drager ju alltid sympatierna till sig. Man tänker inte så mycket på rättvisan i de konkreta fallen, men jag undrar, om alla de, som svärma för de utomäktenskapliga barnens arvsrätt, också tänkt på vad detta innebär för </w:t>
      </w:r>
      <w:r>
        <w:rPr>
          <w:b/>
        </w:rPr>
        <w:t>kvinnorna¹</w:t>
      </w:r>
      <w:r>
        <w:rPr>
          <w:b w:val="0"/>
        </w:rPr>
        <w:t xml:space="preserve">. En sådan reform går i regel ut över </w:t>
      </w:r>
      <w:r>
        <w:rPr>
          <w:b/>
        </w:rPr>
        <w:t>kvinnorna¹</w:t>
      </w:r>
      <w:r>
        <w:rPr>
          <w:b w:val="0"/>
        </w:rPr>
        <w:t>, d. v. s. änkorna. De ha förlorat sin familjeförsörjare och känna sig tröstlösa. De ha kanske sin lilla förmögenhet, på vilken de nödtoftigt kunna draga sig fram. Så kommer det, innan mannen</w:t>
        <w:br/>
        <w:br/>
        <w:t>ens är jordfäst, en advokat och anmäler sig som representant för en person, som de aldrig ha hört talas om, och framställer arvsanspråk för honom som naturlig son till den avlidne. Får man inte tänka på den sorg och den smärta, som vållas den efterlämnade makan i sådana fall? Den legitima familjens intresse har härvidlag mycket litet beaktats av lagberedningen. Den har helt och hållet förbigått detta, men jag får säga, att jag fäster desto större avseende härvid, som jag har haft tillfälle att i det verkliga livet se, vilken sorg och förvirring dylika anspråk kunna vålla. Det har gällt personer, som gjort gällande anspråk på att hava varit hävdade under äktenskapslöfte och på den grund hava arvsrätt.</w:t>
        <w:br/>
        <w:br/>
        <w:t>Herr talman! Jag ber att i anslutning till vad jag nu har yttrat få yrka avslag på herr Klefbecks förslag.</w:t>
      </w:r>
    </w:p>
    <w:p>
      <w:pPr>
        <w:pStyle w:val="Heading2"/>
      </w:pPr>
      <w:r>
        <w:t>3. Ernst Klefbeck (Socialdemokraterna, man)</w:t>
      </w:r>
    </w:p>
    <w:p>
      <w:r>
        <w:rPr>
          <w:b w:val="0"/>
        </w:rPr>
        <w:t>Herr Bissmark utnyttjade mycket skickligt den inkonsekvens jag gjorde mig skyldig till och som jag själv var medveten om, fast jag icke ville onödigt förlänga debatten genom att gå in på den saken, nämligen att jag, då jag första gången yttrade mig, nämnde, att grunden för arvsrätten efter den nya lagen skulle vara icke blott blodsbandet utan även den sociala och ekonomiska samhörigheten mellan arvlåtaren och arvtagaren, medan det i nu föreliggande fall icke finnes någon sådan ekonomisk och social samhörighet. Jag var som sagt fullt på det klara med detta före herr Bissmarks anförande. Men denna till synes föreliggande motsats löses för mig på det sättet, att i det förra fallet, då det gällde släktingar i långt avlägset led, blodsbandet var i hög grad uttunnat, medan det i detta fall är det allra närmaste blodsband, som tänkas kan, nämligen mellan far och barn.</w:t>
        <w:br/>
        <w:br/>
        <w:t xml:space="preserve">Sedan var det bara en enda sak till, som jag ville svara på. Herr Bissmark utgick från det exemplet, att en </w:t>
      </w:r>
      <w:r>
        <w:rPr>
          <w:b/>
        </w:rPr>
        <w:t>kvinna¹</w:t>
      </w:r>
      <w:r>
        <w:rPr>
          <w:b w:val="0"/>
        </w:rPr>
        <w:t xml:space="preserve"> med ett utomäktenskapligt barn ingår gifte med en annan person än barnets fader. Skall det då vara lämpligt, frågade herr Bissmark, att fadern till barnet gör sig påmind i fråga om sitt barn, sedan modern blivit gift med en annan? "Tanken utvecklades även på ett annat sätt, i det han pekade på det fall, att en </w:t>
      </w:r>
      <w:r>
        <w:rPr>
          <w:b/>
        </w:rPr>
        <w:t>kvinna¹</w:t>
      </w:r>
      <w:r>
        <w:rPr>
          <w:b w:val="0"/>
        </w:rPr>
        <w:t xml:space="preserve">, med vilken en man, som har s. k. oäkta barn, gift sig, blivit </w:t>
      </w:r>
      <w:r>
        <w:rPr>
          <w:b/>
        </w:rPr>
        <w:t>änka²</w:t>
      </w:r>
      <w:r>
        <w:rPr>
          <w:b w:val="0"/>
        </w:rPr>
        <w:t xml:space="preserve"> och därefter barnets ombud kommer och framställer krav på arv för barnet. Jag vill då gent emot detta endast svara, att herr Bissmarks invändning icke så mycket riktar sig mot den här föreslagna rätten till arv, utan betydligt mer mot redan gällande rätt för barnet att erhålla underhållsbidrag av sin fader. Detta är fadern nu skyldig att lämna, och han har på den grund oupphörligt skyldighet att sätta sig i förbindelse med barnets </w:t>
      </w:r>
      <w:r>
        <w:rPr>
          <w:b/>
        </w:rPr>
        <w:t>moder²</w:t>
      </w:r>
      <w:r>
        <w:rPr>
          <w:b w:val="0"/>
        </w:rPr>
        <w:t xml:space="preserve">. Arvsanspråket framställes däremot blott en enda gång, vid faderns frånfälle. Dennes </w:t>
      </w:r>
      <w:r>
        <w:rPr>
          <w:b/>
        </w:rPr>
        <w:t>änka²</w:t>
      </w:r>
      <w:r>
        <w:rPr>
          <w:b w:val="0"/>
        </w:rPr>
        <w:t>, som under mannens livstid mycket väl haft reda på, att han haft ett barn, som han underhållit, bör icke bli så särdeles överraskad över att barnet också vill ärva efter honom. Jag menar sålunda, att de invändningar, som framförts, icke så mycket drabba det föreliggande förslaget som den redan gällande lagen om underhållsbidrag, och jag vidhåller därför mitt yrkande.</w:t>
      </w:r>
    </w:p>
    <w:p>
      <w:pPr>
        <w:pStyle w:val="Heading2"/>
      </w:pPr>
      <w:r>
        <w:t>4. Gustav Möller (Socialdemokraterna, man)</w:t>
      </w:r>
    </w:p>
    <w:p>
      <w:r>
        <w:rPr>
          <w:b w:val="0"/>
        </w:rPr>
        <w:t>Jag har ju inte besvärat kammaren med att lägga mig i den föregående debatten, men jag kan inte underlåta att på denna punkt taga till orda och det inte minst på grund av det anförande, som herr Bissmark höll. Jag har hela tiden, sedan denna fråga fördes upp på riksdagens bord, varit angelägen att få höra, vilken art av argumentation man har för att motsätta sig yrkandet, att det oäkta barnet på denna punkt likställes med det äkta. När jag hört herr Bissmarks anförande, sade jag mig. att om den argumentationen verkligen skall ha någon vikt, gäller den i precis lika hög grad det oäkta barnets arvsrätt efter modern. Står man på den ståndpunkt, som herr Bissmark in-</w:t>
        <w:br/>
        <w:br/>
        <w:t>Förslag till lag tager, borde man rätteligen yrka, att de oäkta barnens arvsrätt överhuvud taget</w:t>
        <w:br/>
        <w:br/>
        <w:t xml:space="preserve">skall försvinna. Nu kan man icke draga en sådan konsekvens. Moderskapet är ju utomordentligt lättare att konstatera än faderskapet, och om en </w:t>
      </w:r>
      <w:r>
        <w:rPr>
          <w:b/>
        </w:rPr>
        <w:t>kvinna¹</w:t>
      </w:r>
      <w:r>
        <w:rPr>
          <w:b w:val="0"/>
        </w:rPr>
        <w:t xml:space="preserve"> har fött ett oäkta barn till världen, får </w:t>
      </w:r>
      <w:r>
        <w:rPr>
          <w:b/>
        </w:rPr>
        <w:t>hon²</w:t>
      </w:r>
      <w:r>
        <w:rPr>
          <w:b w:val="0"/>
        </w:rPr>
        <w:t xml:space="preserve"> dragas med alla de svårigheter och alla de bekymmer, som herr Bissmark här målat upp för oss ur faderns synpunkt eller ur det nya giftets synpunkt. Vad är det för en skillnad mellan det fall, då en </w:t>
      </w:r>
      <w:r>
        <w:rPr>
          <w:b/>
        </w:rPr>
        <w:t>kvinna¹</w:t>
      </w:r>
      <w:r>
        <w:rPr>
          <w:b w:val="0"/>
        </w:rPr>
        <w:t xml:space="preserve"> skall ingå gifte och </w:t>
      </w:r>
      <w:r>
        <w:rPr>
          <w:b/>
        </w:rPr>
        <w:t>hon²</w:t>
      </w:r>
      <w:r>
        <w:rPr>
          <w:b w:val="0"/>
        </w:rPr>
        <w:t xml:space="preserve"> har ett oäkta barn, som </w:t>
      </w:r>
      <w:r>
        <w:rPr>
          <w:b/>
        </w:rPr>
        <w:t>hon²</w:t>
      </w:r>
      <w:r>
        <w:rPr>
          <w:b w:val="0"/>
        </w:rPr>
        <w:t xml:space="preserve"> — vilket ingen kan motsätta sig — skall taga med sig i den familj, som skall bildas, eller eventuellt hava utackorderat, och det fall, att en fader har ett oäkta barn och nödgas säga den </w:t>
      </w:r>
      <w:r>
        <w:rPr>
          <w:b/>
        </w:rPr>
        <w:t>kvinna¹</w:t>
      </w:r>
      <w:r>
        <w:rPr>
          <w:b w:val="0"/>
        </w:rPr>
        <w:t xml:space="preserve">, med vilken han tänker ingå äktenskap, hur läget är, och låta </w:t>
      </w:r>
      <w:r>
        <w:rPr>
          <w:b/>
        </w:rPr>
        <w:t>henne²</w:t>
      </w:r>
      <w:r>
        <w:rPr>
          <w:b w:val="0"/>
        </w:rPr>
        <w:t xml:space="preserve"> förstå, att hans barn kan komma att uppträda med vissa anspråk? Jag kan inte för min del erkänna, att det finns någon verklig ansvarskänsla bakom hela det resonemang, som anföres emot en utredning på denna punkt. Kräver man ansvarskänsla, skall den vara lika för mannen som för </w:t>
      </w:r>
      <w:r>
        <w:rPr>
          <w:b/>
        </w:rPr>
        <w:t>kvinnan¹</w:t>
      </w:r>
      <w:r>
        <w:rPr>
          <w:b w:val="0"/>
        </w:rPr>
        <w:t xml:space="preserve">, och den skall gälla lika gent emot de barn en man avlat utom äktenskapet som gent emot de barn han avlat inom äktenskapet. Jag kan inte erkänna, att det finnes någon moralisk överlägsenhet i den ståndpunkten, att en person skall kunna — inte precis bära sig åt hur som helst, ty man kan ju ålägga honom de förpliktelser, som herr Klefbeck nyss erinrat om gent emot herr Bissmark, men att han i varje fall skall ha mycket mindre ansvar. om han icke är lagligt gift än om han är lagligt gift. Jag kan icke gå med på att icke detta resonemang i själva verket är lika samhällsupplösande som ett medgivande åt de utomäktenskapliga barnen att med avseende på arv få åtnjuta samma rättigheter som de inomäktenskapliga. Såvitt jag förstår måste en lagstiftning, som på denna punkt inte gör någon skillnad mellan man och </w:t>
      </w:r>
      <w:r>
        <w:rPr>
          <w:b/>
        </w:rPr>
        <w:t>kvinna¹</w:t>
      </w:r>
      <w:r>
        <w:rPr>
          <w:b w:val="0"/>
        </w:rPr>
        <w:t xml:space="preserve"> — ty det är detta frågan gäller — om den överhuvud taget skall ha några verkningar, tvinga fram en större känsla av ansvarighet hos den manliga parten än den lagstiftning, som vi nu ha. Han vet, att det inställer sig konsekvenser, som han inte kan undanhålla sin egen familj. Han vet, att det inställer sig konsekvenser, som han inte kan undanhålla den </w:t>
      </w:r>
      <w:r>
        <w:rPr>
          <w:b/>
        </w:rPr>
        <w:t>kvinna¹</w:t>
      </w:r>
      <w:r>
        <w:rPr>
          <w:b w:val="0"/>
        </w:rPr>
        <w:t xml:space="preserve">, med vilken han, övergivande den andra, tänker ingå äktenskap, och jag tror, att det i regel skulle vara till stort gagn även för det äktenskap han ingår med en annan </w:t>
      </w:r>
      <w:r>
        <w:rPr>
          <w:b/>
        </w:rPr>
        <w:t>kvinna¹</w:t>
      </w:r>
      <w:r>
        <w:rPr>
          <w:b w:val="0"/>
        </w:rPr>
        <w:t xml:space="preserve"> än den, som han tidigare har fått barn med, att det inte finns några dolda historier, vilka, som herr Bissmark sade, kanske dyka upp först vid gravens brädd, utan att de därav berörda verkligen känna till dem på förhand. Det kan inte vara något intresse för samhället, att det så att säga godkänner, att mannen har en rätt att hålla sitt tidigare liv — i den mån det kunnat föra till den konsekvensen, att han har utomäktenskapliga barn — som en hemlighet för den </w:t>
      </w:r>
      <w:r>
        <w:rPr>
          <w:b/>
        </w:rPr>
        <w:t>kvinna¹</w:t>
      </w:r>
      <w:r>
        <w:rPr>
          <w:b w:val="0"/>
        </w:rPr>
        <w:t>, med vilken han verkligen tänker bilda familj. Jag måste följaktligen säga mig, att ur principiella synpunkter kan det inte vara rimligt att motsätta sig en förnyad skrivelse på denna punkt. |</w:t>
        <w:br/>
        <w:br/>
        <w:t xml:space="preserve">Det, som väl antagligen ur konservativ synpunkt skulle vara det verkliga huvudskälet, förmodar jag är, att parter, som leva i konkubinat, skulle förlora det lilla tryck, som nu kan ligga i att de utomäktenskapliga barnen inte ha någon laglig arvsrätt. De skulle förlora detta tryck till att legitimera det s. k. konkubinatet. Man har alltså nu ett slags säkerhet för att det »samhällsupplösande» fria äktenskapet kanske inte får så stor utbredning, som det möjligen skulle komma att få, därest man medgav arvsrätt för barn, födda i sådana s. k. konkubinat. Ja, jag kan förstå ett sådant argument, men jag anser det ingalunda ha någon likvärdig betydelse med att man — och det är min bestämda övertygelse, att man faktiskt gör — stärker ansvarskänslan hos unga män och bidrar till att skapa större öppenhet även uti ett äktenskap, som ingås med en annan </w:t>
      </w:r>
      <w:r>
        <w:rPr>
          <w:b/>
        </w:rPr>
        <w:t>kvinna¹</w:t>
      </w:r>
      <w:r>
        <w:rPr>
          <w:b w:val="0"/>
        </w:rPr>
        <w:t xml:space="preserve"> än den med vilken mannen tidigare fått barn.</w:t>
        <w:br/>
        <w:br/>
        <w:t>Slutligen tycker jag uppriktigt sagt, att det är rätt upprörande, att man</w:t>
        <w:br/>
        <w:br/>
        <w:t xml:space="preserve">behandlar själva barnets rätt med denna axelryckning, som man här gör. Man Förslag till lag må ha vilka åsikter man vill om konsekvenserna i andra avseenden av fria för- 9” arv m. nm. bindelser, man må ha vilka åsikter man vill om huruvida sådana skola motar- (Forts betas eller ej, men vad jag bestrider är, att man har rättighet att med sådana utgångspunkter beröva barnet något av dess rätt. Den skuld man kan anse, att en ogift man och en ogift </w:t>
      </w:r>
      <w:r>
        <w:rPr>
          <w:b/>
        </w:rPr>
        <w:t>kvinna¹</w:t>
      </w:r>
      <w:r>
        <w:rPr>
          <w:b w:val="0"/>
        </w:rPr>
        <w:t xml:space="preserve"> ha gentemot ett utom äktenskapet avlat barn — i varje fall i de kretsar, där man lever i äldre föreställningar — den skulden är redan den så pass stor, att man inte skall belasta barnet med denna skuld, ty barnet är under alla omständigheter oskyldigt, och det är barnets rättigheter, som efter min uppfattning ett samhälle har all anledning att ta med det allra största allvar. Jag bestrider, att barnets rätt verkligen blir tillgodosett, om inte det utomäktenskapliga barnet jämställes med det inomäktenskapliga barnet. Det är från dessa utgångpsunkter, som jag yrkar bifall till den av herrar Klefbeck och Schlyter avgivna reservationen och till det yrkande, som är framställt här. Detta yrkande är mycket moderat, och man har därmed velat undgå ett av de farligaste av de blindskär, som naturligtvis kunna finnas, då det gäller en lagstiftning på ett så pass ömtåligt område. Jag tycker för min del, att den vänstermajoritet, som vi ha konstaterat i detta ärende här i dag, bör, elva år efter det riksdagen en gång skrivit om saken, hålla även på denna punkt. Jag är övertygad om att vi därigenom bara visa, att den starka rättskänsla, som en gång fört fram kravet på att de oäkta barnen i fråga om arv skola jämställas med de äkta, alltjämt finnes kvar, inte bara hos ledamöterna av det socialdemokratiska partiet utan även hos ledamöterna inom de borgerliga grupperna. Jag skulle alltså för min del vilja vädja till kammaren att bifalla denna reservation.</w:t>
        <w:br/>
        <w:br/>
        <w:t>I herr Möllers yttrande instämde herrar Sandegård, Östergren, Pauli, Berglund, Linders, Jacob Larsson och Johan Nilsson i Malmö.</w:t>
      </w:r>
    </w:p>
    <w:p>
      <w:pPr>
        <w:pStyle w:val="Heading2"/>
      </w:pPr>
      <w:r>
        <w:t>5. Georg Bissmark (Första kammarens nationella parti, man)</w:t>
      </w:r>
    </w:p>
    <w:p>
      <w:r>
        <w:rPr>
          <w:b w:val="0"/>
        </w:rPr>
        <w:t xml:space="preserve">Herr Möller började med att uttala, att han var ytterligt nyfiken att höra vilka skäl, som skulle kunna anföras emot en utredning i den riktning, som här föreslagits, och jag får säga, att herr Möller lyckats kuva denna nyfikenhet ganska lätt, då han inte tagit del av lagberedningens mycket utförliga utlåtande på denna punkt, vari lagberedningen med styrka framför de invändningar, som kunna göras mot den ifrågasatta utvecklingen av de utomäktenskapliga barnens arvsrätt. Särskilt beträffande konkubinatsbarnen har det framhållits mycket starka skäl. Jag ansåg mig i mitt uttalande inte behöva gå in på alla de skäl, som lagberedningen anfört, ty jag förutsatte, att de voro kända, då de jämväl delvis äro upptagna i utskottets utlåtande. Emellertid är det påfallande, att herr Möller i sitt resonemang gått vida utöver vad reservanterna krävt. Han fordrar fullständig likställighet mellan man och </w:t>
      </w:r>
      <w:r>
        <w:rPr>
          <w:b/>
        </w:rPr>
        <w:t>kvinna¹</w:t>
      </w:r>
      <w:r>
        <w:rPr>
          <w:b w:val="0"/>
        </w:rPr>
        <w:t xml:space="preserve"> i avseende å barnen. Ja, detta är ju, som jag sade, ett av de där abstrakta kraven, som låta så tilltalande, men hur ställa de sig till verkligheten? Finns det likställighet mellan </w:t>
      </w:r>
      <w:r>
        <w:rPr>
          <w:b/>
        </w:rPr>
        <w:t>kvinna¹</w:t>
      </w:r>
      <w:r>
        <w:rPr>
          <w:b w:val="0"/>
        </w:rPr>
        <w:t xml:space="preserve"> och man i avseende å barnets födande? Den stora skillnaden är, att </w:t>
      </w:r>
      <w:r>
        <w:rPr>
          <w:b/>
        </w:rPr>
        <w:t>kvinnan¹</w:t>
      </w:r>
      <w:r>
        <w:rPr>
          <w:b w:val="0"/>
        </w:rPr>
        <w:t xml:space="preserve"> vet, att det är </w:t>
      </w:r>
      <w:r>
        <w:rPr>
          <w:b/>
        </w:rPr>
        <w:t>hennes²</w:t>
      </w:r>
      <w:r>
        <w:rPr>
          <w:b w:val="0"/>
        </w:rPr>
        <w:t xml:space="preserve"> barn, under det att mannen beklagligtvis i många fall — och dessa fall tyckas enligt min erfarenhet som domare bli allt talrikare — kan göra gällande, att han inte är far till barnet eller att det åtminstone är tveksamt. Det är just hänsynen till dessa invändningar, som gjort, att man inte utan vidare velat godtaga faderskapet enbart på ett erkännande, att en förbindelse ägt rum. Jag ser inte, hur man kan komma till herr Möllers ståndpunkt på annan väg än genom att införa denna invändning om att någon annan lika väl kan vara fader till barnet. Jag ser inte, hur man kan komma ifrån detta. Det är en mycket tungt vägande anmärkning, och så vitt jag</w:t>
        <w:br/>
        <w:br/>
        <w:t>Förslag till lag förstår slår den helt och hållet ihjäl herr Möllers fantasier om att man skall ha</w:t>
        <w:br/>
        <w:br/>
        <w:t xml:space="preserve">Det talas här mycket om barnets rätt, och det låter ju så sympatiskt, men överallt där det är fråga om människors rätt, så får man väga olika rättigheter mot varandra. Vi få dock tänka oss, att det finns många fall, där mannen och </w:t>
      </w:r>
      <w:r>
        <w:rPr>
          <w:b/>
        </w:rPr>
        <w:t>hustrun²</w:t>
      </w:r>
      <w:r>
        <w:rPr>
          <w:b w:val="0"/>
        </w:rPr>
        <w:t xml:space="preserve"> gemensamt förvärvat sin förmögenhet, och då mannen faller ifrån, så skulle </w:t>
      </w:r>
      <w:r>
        <w:rPr>
          <w:b/>
        </w:rPr>
        <w:t>hustrun²</w:t>
      </w:r>
      <w:r>
        <w:rPr>
          <w:b w:val="0"/>
        </w:rPr>
        <w:t xml:space="preserve"> få dela med sig åt personer, vars existens </w:t>
      </w:r>
      <w:r>
        <w:rPr>
          <w:b/>
        </w:rPr>
        <w:t>hon²</w:t>
      </w:r>
      <w:r>
        <w:rPr>
          <w:b w:val="0"/>
        </w:rPr>
        <w:t xml:space="preserve"> ej avvetat. Kanhända </w:t>
      </w:r>
      <w:r>
        <w:rPr>
          <w:b/>
        </w:rPr>
        <w:t>hon²</w:t>
      </w:r>
      <w:r>
        <w:rPr>
          <w:b w:val="0"/>
        </w:rPr>
        <w:t xml:space="preserve"> infört alltsammans själv i boet, och då blir det ett ytterligt osympatiskt fall. I de fall, där mannen gjort klara och tydliga utfästelser genom att erkänna barnet som sitt och medge arvsrätt, får man väl anta, att han haft så mycket samvete, att han underrättat </w:t>
      </w:r>
      <w:r>
        <w:rPr>
          <w:b/>
        </w:rPr>
        <w:t>hustrun²</w:t>
      </w:r>
      <w:r>
        <w:rPr>
          <w:b w:val="0"/>
        </w:rPr>
        <w:t xml:space="preserve"> om detta förhållande, men i de fall, där det inte föreligger ett sådant erkännande, utan där det blir bevisning på annat sätt, kanske t. o. m. efter mannens död, så blir situationen en helt annan. Här får man väga de olika intressena mot varandra, väga </w:t>
      </w:r>
      <w:r>
        <w:rPr>
          <w:b/>
        </w:rPr>
        <w:t>kvinnans¹</w:t>
      </w:r>
      <w:r>
        <w:rPr>
          <w:b w:val="0"/>
        </w:rPr>
        <w:t xml:space="preserve">, </w:t>
      </w:r>
      <w:r>
        <w:rPr>
          <w:b/>
        </w:rPr>
        <w:t>änkans²</w:t>
      </w:r>
      <w:r>
        <w:rPr>
          <w:b w:val="0"/>
        </w:rPr>
        <w:t>, intresse mot barnets, vilket senare dock, säga vad man vill, genom att gå miste om arvet inte kommer i sämre läge än det stora flertalet av svenska barn.</w:t>
        <w:br/>
        <w:br/>
        <w:t>Jag ber alltså att få vidhålla mitt yrkande.</w:t>
      </w:r>
    </w:p>
    <w:p>
      <w:pPr>
        <w:pStyle w:val="Heading2"/>
      </w:pPr>
      <w:r>
        <w:t>6. Carl Winberg (Kilbomspartiet, man)</w:t>
      </w:r>
    </w:p>
    <w:p>
      <w:r>
        <w:rPr>
          <w:b w:val="0"/>
        </w:rPr>
        <w:t>Jag hade inte tänkt delta i debatten om arvsfrågorna, men det var ett uttalande av herr Bissmark i hans första anförande, som föranledde mig att begära ordet. Såvitt jag fattade honom rätt, gjorde han gällande, att det var naturliga lagar, mot vilka det var omöjligt att kämpa, som föranledde, att detta närmare förhållande mellan barn och föräldrar inte fanns, då det rörde sig om s. k. oäkta barn. Tillåt mig säga, att det är ett av de mest vågade uttryck man kan använda. Ty om det är något, som är onaturligt, så är det väl den omständigheten, att människor av rena bekvämlighetsskäl, familjehänsyn och dylikt, offra barnets rätt och barnets intresse. Det är inga naturliga lagar detta, herr Bissmark, utan det är den mest onaturliga uppfattning man överhuvud taget kan komma fram med. Vi skola komma ihåg, att det är en primitiv uppfattning, som ser på de rent ekonomiska intressena och bortser från de mera allmänna synpunkterna och framför allt från barnets rätt:</w:t>
        <w:br/>
        <w:br/>
        <w:t xml:space="preserve">När herr Bissmark sedan i mycket bjärta färger målade upp vilken sorg och smärta det skulle föranleda inom äktenskapet, därest vid ett visst tillfälle utomäktenskapliga arvingar anmälde sig, så är det alldeles samma förhållande därvidlag. Han menade, att det kanske skulle motarbeta dessa lösliga förbindelser, som uttrycket nu är, om man inte gåve de oäkta barnen arvsrätt. Ja, det är verkligen också en härlig moral. För att överhuvud taget åstadkomma andra former för sammanlevnaden mellan man och </w:t>
      </w:r>
      <w:r>
        <w:rPr>
          <w:b/>
        </w:rPr>
        <w:t>kvinna¹</w:t>
      </w:r>
      <w:r>
        <w:rPr>
          <w:b w:val="0"/>
        </w:rPr>
        <w:t xml:space="preserve"> vill man göra detta via barnen, d. v. s. genom att bestraffa barnen. Är det verkligen en förstklassig moral? Det har jag anledning att fråga.</w:t>
        <w:br/>
        <w:br/>
        <w:t>Det är en hel del saker i samband härmed, som det skulle vara anledning att påpeka, men jag skall inte vidare ta tiden i anspråk annat än för att påpeka vilken oerhört ihålig moral man här verkligen företräder, därest man ser djupare på frågan. Jag förstår så väl, att det är bekvämlighetssynpunkter: en man vill inte bli påmind om sådana saker, som han begått i ungdomen o.s.v. Men jag frågar fortfarande: är det detta, som är det avgörande, att man skall se till att inte barnafadern får några obehagligheter längre fram i tiden, eller är det inte naturligare, att barnen under alla omständigheter skola ha sin rätt? Det är den förstnämnda uppfattningen, som åtminstone enligt</w:t>
        <w:br/>
        <w:br/>
        <w:t>min mening är så pass föråldrad och så primitiv, att det verkligen är på hög Förslag till lag</w:t>
        <w:br/>
        <w:br/>
        <w:t>inte heller löser frågan. Det är, som redan framhållits, till ytterlighet mo-</w:t>
        <w:br/>
        <w:br/>
        <w:t>dererat, men det innehåller i alla fall någonting i den rätta riktningen, och</w:t>
        <w:br/>
        <w:br/>
        <w:t>om inte annat, herr talman, så av den anledningen anser jag mig böra ansluta</w:t>
        <w:br/>
        <w:br/>
        <w:t>mig till detta krav, så ofullkomligt det än är.</w:t>
      </w:r>
    </w:p>
    <w:p>
      <w:pPr>
        <w:pStyle w:val="Heading2"/>
      </w:pPr>
      <w:r>
        <w:t>7. Mauritz Hellberg (Liberala riksdagspartiet, man)</w:t>
      </w:r>
    </w:p>
    <w:p>
      <w:r>
        <w:rPr>
          <w:b w:val="0"/>
        </w:rPr>
        <w:t>Herr talman! Jag känner mig nästan behöva be om ursäkt för att jag tar till orda vid det första arbetsplenum, som jag bevistar efter mitt återinträde 1 denna kammare. Men det är med mig, som det berättas om de gamla kavallerihästarna: då de få höra trumpeten, känna de lust att gnägga. Jag har i denna fråga ett gammalt patos, som sitter kvar sedan 1917, och därför har jag också känt mig uppfordrad att säga några få ord i denna debatt.</w:t>
        <w:br/>
        <w:br/>
        <w:t>Jag erinrar mig, herr talman, att jag, då jag hade ordet den gången för elva år sedan, använde det uttryck om denna sak, som nu är på tal, att det här gällde ett barnaoffer, som samhället bedrivit sedan århundraden, och att det kunde begäras av ett kultursamhälle, att det skulle göra slut på detta barnaoffer, så långt i dess förmåga står. Hur vi än argumentera i denna sak, lär man väl inte komma ifrån vad som här av flera talare har framhållits, nämligen att man låter det gå ut över de värnlösaste varelser, som finnas 1 vårt samhälle, över de s. k. oäkta barnen. Det är dessa, som skola plikta för vad föräldrarna eventuellt gjort. För att bespara föräldrarna obehag drar man sig inte för att offra dessa barn, och det upprör mig i min själs innersta.</w:t>
        <w:br/>
        <w:br/>
        <w:t>Nu är jag på det klara med att vad som begäres i denna reservation med dess anhållan om en skrivelse naturligtvis ingalunda innebär någonting, som ger en fullständig lösning av frågan. Man stöter på punkter, där omöjligheter inställa sig, som man inte kan övervinna, men reservationen visar dock en vilja att så långt som i mänsklig förmåga står åstadkomma rättelse i ett svårt missförhållande. Jag tycker det vore beklagligt, om denna kammare nu skulle uppge den ståndpunkt, som den intog för elva år sedan. Vad som här begäres är något i viss mån moderatare, försiktigare än vad som begärdes då, men Just därför vore det beklagligt, om det skulle avslås.</w:t>
        <w:br/>
        <w:br/>
        <w:t>Jag anhåller därför, herr talman, att få yrka bifall till reservationen.</w:t>
      </w:r>
    </w:p>
    <w:p>
      <w:pPr>
        <w:pStyle w:val="Heading2"/>
      </w:pPr>
      <w:r>
        <w:t>8. Theodor Borell (Högerns riksdagsgrupp, man)</w:t>
      </w:r>
    </w:p>
    <w:p>
      <w:r>
        <w:rPr>
          <w:b w:val="0"/>
        </w:rPr>
        <w:t>Herr talman, mina herrar! Jag hade inte tänkt att yttra mig i denha del av ämnet, men jag finner mig nödsakad att göra det i anledning av de senaste uttalandena.</w:t>
        <w:br/>
        <w:br/>
        <w:t>Det förefaller mig, liksom det föreföll herr Bissmark, att de herrar, som senast talat, inte tagit del av den utredning, som föreligger i denna fråga. De utgå från att utskottets ställningstagande hänför sig till obenägenhet att beakta barnens rätt. Så är emellertid ingalunda förhållandet. Propositionen och lagutskottets utlåtande gå ut ifrån den efter en mycket omsorgsfullt gjord utredning intagna ståndpunkten, att man just genom det ställningstagande, som är gjort i propositionen, på bästa sätt man i denna ofullkomliga värld kan, befrämjar barnens rätt. Herrarna torde erinra sig, att vi år 1917 fingo en lagstiftning om barnavård, och herrarna kanske också veta, att den lagen i tilllämpningen utfallit mycket bättre än någon vågat hoppas. Statistiken visar, att huvudsakligen tack vare denna lagstiftning — jag återupprepar nu vad som finns i lagberedningens utredning — ha 93 Zz av de utomäktenskapliga bar-</w:t>
        <w:br/>
        <w:br/>
        <w:t>är möjligt. Utav dessa 93 procent — om jag tar dem som en helhet — ha i inte mindre än i 90 procent av fallen fastställande av faderskapet grundats på erkännande. Endast i 10 procent av fallen har det varit nödvändigt att få faderskapet konstaterat genom domstolsförfarande.</w:t>
        <w:br/>
        <w:br/>
        <w:t xml:space="preserve">Hur har nu detta gått till? Jo, i allmänhet så, att barnavårdsmannen vänt sig till den person, som modern utpekat som far, och uppmanat honom, att medge faderskapet och utfästa sig att bidraga till barnets underhåll. Den invändning är då icke ovanlig från vederbörande, att han väl medger att han kan vara far till barnet men att han ej är viss därom, enär </w:t>
      </w:r>
      <w:r>
        <w:rPr>
          <w:b/>
        </w:rPr>
        <w:t>kvinnan¹</w:t>
      </w:r>
      <w:r>
        <w:rPr>
          <w:b w:val="0"/>
        </w:rPr>
        <w:t xml:space="preserve"> under konceptionstiden haft umgänge även med annan eller andra män. Barnavårdsmannen upplyser honom då om, att en sådan invändning ej har någon betydelse att således, om en man haft beröring med </w:t>
      </w:r>
      <w:r>
        <w:rPr>
          <w:b/>
        </w:rPr>
        <w:t>kvinna¹</w:t>
      </w:r>
      <w:r>
        <w:rPr>
          <w:b w:val="0"/>
        </w:rPr>
        <w:t xml:space="preserve"> på sådan tid, att han kan vara far till </w:t>
      </w:r>
      <w:r>
        <w:rPr>
          <w:b/>
        </w:rPr>
        <w:t>hennes²</w:t>
      </w:r>
      <w:r>
        <w:rPr>
          <w:b w:val="0"/>
        </w:rPr>
        <w:t xml:space="preserve"> barn, hans invändning, att möjligen någon annan kan vara far ej tages upp av domstol, utan det gjorda medgivandet föranleder till fastställande av faderskapet och åläggande av betalningsskyldighet. Då man har gjort detta klart är det många, som frivilligt medgiva faderskap, och det är på detta sätt man kommit fram till så goda resultat. Nu är man emellertid tämligen enig om, att skulle man låta ett fastställande av faderskap inte blott ha den verkan, att fadern får betala understöd till barnet utan också att barnet skulle få arvsrätt — alltså vida större verkningar än hittills — så måste man fordra en helt annan bevisning om faderskapet än man nu gör. Man kan inte rimligen fastställa, att ett visst barn skall ha arvsrätt, utan att man konstaterar, att den man, som barnet skall ärva, verkligen är dess far. Man måste då i rättegång härom komma att tillåta en invändning från svarandepartens sida att även andra än han under konceptionstiden haft umgänge med </w:t>
      </w:r>
      <w:r>
        <w:rPr>
          <w:b/>
        </w:rPr>
        <w:t>henne²</w:t>
      </w:r>
      <w:r>
        <w:rPr>
          <w:b w:val="0"/>
        </w:rPr>
        <w:t xml:space="preserve">. En sådan invändning plägar benämnas invändning om exceptio plurium. Om man skulle tillåta en sådan invändning och upptar bevisning därom, är det all anledning att anta, att det ej längre blir så lätt som nu att få ett erkännande av mannen, då motivet för att ge ett sådant erkännande fallit bort och han givetvis i många fall kommer att begagna sig av den möjlighet som framställande av invändning om exceptio plurium innebär. Man kommer då in på bevisningsfrågor, som äro synnerligen svårlösta. Kan det då konstateras inför domstol, att det verkligen förelegat sådana förhållanden, att antingen den eller den kan vara far — man vet inte vilken —, så har man flera alternativ att välja på. Man kan antingen säga, att som det inte kunnat med visshet konstateras, att svaranden är far till barnet, så kan man varken ålägga honom underhållsskyldighet eller tillerkänna barnet arvsrätt och detta är väl det med rättskänslan mest överensstämmande. Väljer man denna utväg, så mister barnet inte bara arvsrätt, utan det mister också rätten till underhåll. Eller också kan man säga, att det visserligen ej är konstaterat, att svaranden är far till barnet, men att som han är stämd av modern och det är utrett, att han möjligen kan vara far till barnet, så får han lämna underhåll och barnet får också ärva. Det är en utväg, som man emellertid inte rimligen kan välja; den skulle strida mot den sunda rättsuppfattningen. Så har man den tredje utvägen. Man kan säga, att eftersom det är konstaterat, att flera män haft beröring med </w:t>
      </w:r>
      <w:r>
        <w:rPr>
          <w:b/>
        </w:rPr>
        <w:t>kvinnan¹</w:t>
      </w:r>
      <w:r>
        <w:rPr>
          <w:b w:val="0"/>
        </w:rPr>
        <w:t>, så föreligger den möjlighet att en var av dem kan vara far till barnet, och därför få de betala var sin del av barnets underhåll. Barnet kommer då att tillhöra de s. k. bolagsbarnen. Denna utväg har man valt i ett enda land, nämligen i Norge, men för övrigt har man som det synes mig med fullt fog reagerat mot ett sådant system, som ju lätteligen föranleder till att sådana barn bli en särskilt olyckligt ställd klass bland de utomäktenskapliga barnen. Det är just inför</w:t>
        <w:br/>
        <w:br/>
        <w:t>dessa bevisningssvårigheter, som man ryggat tillbaka. Man har funnit, att Förslag till lg 1917 års barnavårdslagar ha verkat på ett utmärkt sätt till barnens förmån, ?” 7? mm just därför att det är så lätt att få fram ett erkännande av barnets far. Tvin- = (Forts) gas man att medge invändning om exceptio plurium, så uppkommer som jag</w:t>
        <w:br/>
        <w:br/>
        <w:t>sökt påvisa en försämrad situation. Man har blivit övertygad genom detta resonemang, och jag måste dela den uppfattningen, att ur barnets synpunkt</w:t>
        <w:br/>
        <w:br/>
        <w:t>är det bäst att inte tillåta invändning och ge sig in på en prövning om exceptio</w:t>
        <w:br/>
        <w:br/>
        <w:t>plurium, men det kan man inte underlåta, om man skall ge barnet arvsrätt</w:t>
        <w:br/>
        <w:br/>
        <w:t>efter fadern i andra fall än då faderskapet grundar sig på frivilligt erkän-</w:t>
        <w:br/>
        <w:br/>
        <w:t>nande. Det är sålunda barnets verkliga fördel och barnets verkliga nytta man</w:t>
        <w:br/>
        <w:br/>
        <w:t>haft för ögonen, när man stannat vid det nu föreliggande förslaget. Genom</w:t>
        <w:br/>
        <w:br/>
        <w:t>att gå vidare gör man barnet en verklig skada och man sätter på spel hela den</w:t>
        <w:br/>
        <w:br/>
        <w:t>nytta, som 1917 års barnavårdslagar otvivelaktigt medfört. Det är detta, som</w:t>
        <w:br/>
        <w:br/>
        <w:t>ligger bakom, och det är inte alls någon bristande hänsyn till barnets rätt, utan</w:t>
        <w:br/>
        <w:br/>
        <w:t>tvärtom en verkligt varm omtanke om denna rätt, som har motiverat det ställningstagande, vartill lagberedningen i denna fråga har kommit, och vari ut-</w:t>
        <w:br/>
        <w:br/>
        <w:t>skottets majoritet instämt.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557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