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1766</w:t>
      </w:r>
    </w:p>
    <w:p>
      <w:r>
        <w:rPr>
          <w:b/>
        </w:rPr>
        <w:t xml:space="preserve">Datum: </w:t>
      </w:r>
      <w:r>
        <w:t>1928-04-14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Boden (–, man)</w:t>
      </w:r>
    </w:p>
    <w:p>
      <w:r>
        <w:rPr>
          <w:b w:val="0"/>
        </w:rPr>
        <w:t>Herr talman! Angående de utomäktenskapliga barnens arvsrätt kanske icke intresset är så stort, men det är dock en ljusglimt man ser, då man finner, att några av utskottets ledamöter hava reserverat sig för dessa barns arvsrätt. Det hade varit trevligt, om ett sådant förslag förelegat, att man kunnat rösta för deras rätt nu. Men man får göra det bästa möjliga av den situation, som föreligger, och taga den reservation, som här är avgiven.</w:t>
        <w:br/>
        <w:br/>
        <w:t xml:space="preserve">Det erkännes ju villigt, att 1917 års lag angående arv åt barn utom äktenskapet innebar ett avsevärt framsteg för dessa små. Och detta är Ju fullt riktigt. Men då man vill göra ytterligare framsteg på detta område och ge dem full rätt, då tycks det icke gå längre. Rättsbegreppen tyckas vara tämligen tänjbara. Före 1917 hade dessa barn knappast någon rätt att påräkna, men under 1917 fingo de, man kan säga, halv rätt. De fingo sina fulla rättigheter gällande gentemot sin </w:t>
      </w:r>
      <w:r>
        <w:rPr>
          <w:b/>
        </w:rPr>
        <w:t>moder²</w:t>
      </w:r>
      <w:r>
        <w:rPr>
          <w:b w:val="0"/>
        </w:rPr>
        <w:t xml:space="preserve"> men icke så, när det gällde mannens eget skinn. Då tycks det hava sagt stopp. Och det är kanske rent mänskligt, att så är förhållandet, när männen fått makt att stifta sig lagar själva, som hindra dem från att, jag höll på att säga, fullt stå för sina handlingar. Men jag tycker verkligen icke, att det är manligt gjort. I 93 Z av alla fall rörande barn utom äktenskapet har ju faderskapet bevisats, men de lagkloka säga, att det icke är nog med, att de erkänt faderskapet. Det skall vara mycket, mycket mera till. Jag tror, att begreppsförvirringen på detta område är ganska stor.</w:t>
        <w:br/>
        <w:br/>
        <w:t xml:space="preserve">Utskottet säger, att man icke kan ändra de grunder, på vilka 1917 års lag är byggd, därför att det skulle verka störande på arbetet för de utomäktenskapliga barnens bästa. Kan det vara möjligt, att så är förhållandet? Kan det vara möjligt, att om man vill ge dessa barn full rätt, skall detta störa arbetet på dessa barns bästa? Det är väl knappast möjligt. Jag undrar, om man där verkligen haft de utomäktenskapliga barnens rätt för ögonen. Jag tror fast mer, att det är någonting annat, som ligger bakom. Man talar så ofta om sedeslösa </w:t>
      </w:r>
      <w:r>
        <w:rPr>
          <w:b/>
        </w:rPr>
        <w:t>kvinnor¹</w:t>
      </w:r>
      <w:r>
        <w:rPr>
          <w:b w:val="0"/>
        </w:rPr>
        <w:t xml:space="preserve">, då det är fråga om dessa barns rätt, men det gäller icke här sedeslösa </w:t>
      </w:r>
      <w:r>
        <w:rPr>
          <w:b/>
        </w:rPr>
        <w:t>kvinnors¹</w:t>
      </w:r>
      <w:r>
        <w:rPr>
          <w:b w:val="0"/>
        </w:rPr>
        <w:t xml:space="preserve"> rätt utan barnens rätt. Och jag tycker icke heller, att det är rätt</w:t>
        <w:br/>
        <w:br/>
        <w:t>med den lag, vi nu ha. Med den kan man krypa undan sina handlingar. Det finns, som vi väl känna till, ett oerhört stort antal sedeslösa män också. Men dessa krypa bakom lagens rygg, och det anser jag icke vara riktigt. Icke är väl heller denna lag annorlunda än andra lagar, så att det skulle vara så svårt att kunna rucka på den och göra några ändringar i den, bara viljan funnes. Men viljan finnes icke, och därför går det icke. Då det icke går att komma längre denna gång, ber jag, herr talman, att få yrka bifall till den av herrar Klefbeck och Schlyter vid tredje kapitlet fogade reservationen.</w:t>
      </w:r>
    </w:p>
    <w:p>
      <w:pPr>
        <w:pStyle w:val="Heading2"/>
      </w:pPr>
      <w:r>
        <w:t>2. Olivia Nordgren (Socialdemokraterna, woman)</w:t>
      </w:r>
    </w:p>
    <w:p>
      <w:r>
        <w:rPr>
          <w:b w:val="0"/>
        </w:rPr>
        <w:t xml:space="preserve">Herr talman, mina herrar! Den motion, som jag och mina medmotionärer väckt här i kammaren rörande utomäktenskapliga barns arvsrätt jämväl efter fader och fädernefränder, syftar icke i främsta rummet på att skaffa dessa barn ekonomiska fördelar. Vad den åsyftar är likställighet inför lagen mellan de grupper, det här gäller, och övriga samhällsmedlemmar. Dessa barn ha länge nog ställts utanför, i en klass för sig, brännmärkta som »syndens och skammens barn» utan eget förvållande, endast därför att de kommit till världen i en förbindelse, som samhället icke anser sig kunna sanktionera. De ha stämplats som »oäkta» och vanbördiga, de ha hånats och föraktats, och deras </w:t>
      </w:r>
      <w:r>
        <w:rPr>
          <w:b/>
        </w:rPr>
        <w:t>mödrar²</w:t>
      </w:r>
      <w:r>
        <w:rPr>
          <w:b w:val="0"/>
        </w:rPr>
        <w:t xml:space="preserve"> ha stämplats som dåliga och omoraliska varelser, medan det i stor utsträckning hänt, att deras fäder, som ändå äro medansvariga för deras tillblivelse, ha levat ärade och aktade, många gånger som framstående män och samhällsmedborgare. Och likväl, mina herrar, finns det inga oäkta barn men väl oäkta föräldrar, nämligen sådana, som försumma sina plikter mot sitt eget kött och blod. Är för övrigt icke varje kroppsligt och andligt sunt barn en värdefull tillgång för en nation, oavsett sin börd? Och är icke varje </w:t>
      </w:r>
      <w:r>
        <w:rPr>
          <w:b/>
        </w:rPr>
        <w:t>mor²</w:t>
      </w:r>
      <w:r>
        <w:rPr>
          <w:b w:val="0"/>
        </w:rPr>
        <w:t xml:space="preserve">, som arbetar och strävar för att fostra sitt barn till en god människa och samhällsmedborgare, värd varje rättänkande människas aktning och respekt? Är det icke denna dubbelmoral, som vi hålla oss med, som är skuld till de missförhållanden, som t. ex. helt nyligen blottats genom kyrkoherde Isbergs undersökningar angående de s. k. privata förlossningshemmens verksamhet nere i Skåne, med ty åtföljande änglamakeri med små oskyldiga barn? Förvisso! Det var för att dölja sin s. k. »skam», som dessa </w:t>
      </w:r>
      <w:r>
        <w:rPr>
          <w:b/>
        </w:rPr>
        <w:t>kvinnor¹</w:t>
      </w:r>
      <w:r>
        <w:rPr>
          <w:b w:val="0"/>
        </w:rPr>
        <w:t xml:space="preserve"> drevos i händerna på samvetslösa och mindre nogräknade individer, som ockrade på deras nödställda belägenhet. Och det är för att dessa icke önskade barn skola undandöljas, som de hamna i fosterbarnshem, som ha föga gemensamt med det vackra ordet hem.</w:t>
        <w:br/>
        <w:br/>
        <w:t>Det klagades helt nyligen här i kamrarna vid behandlingen av en annan fråga över att den tendens, som allt mera gör sig gällande i fråga om inskränkande av barnantalet, kunde bli en fara för nationens fortbestånd. Om detta är riktigt och sant, vilket jag icke tilltror mig att bedöma, ha vi då råd att dela upp de barn, som födas, i olika klasser, endast på grund av deras börd? Böra vi då icke redan nu sörja för, att alla barn från födelsen tillerkännas rättslig jämlikhet i samhället?</w:t>
        <w:br/>
        <w:br/>
        <w:t>Nu föreliggande lagförslag är ytterligare ett steg framåt till förbättring, det må villigt medgivas. Men steget har endast tagits ut till hälften. Och utskottet har heller icke ansett sig kunna tillstyrka längre gående rättigheter till fadersarv för de barn, det här är fråga om. Någon motivering för denna sin ställning till frågan utöver den av lagberedningen angivna har icke anförts från utskottets sida. De goda verkningarna av 1917 års lagar framhållas, man konstaterar från utskottets sida, att faderskap och därå grundad underhållsskyldighet fastställts i ej mindre än omkring 93 2 av alla fall, samt att detta underhåll utgår ej enbart efter nödtorft utan med hänsyn till båda föräldrarnas ekonomiska villkor. Men svårigheterna att fastställa faderskapet anses vara så stora, att man icke anser sig kunna tillerkänna fler-</w:t>
        <w:br/>
        <w:br/>
        <w:t>talet av dessa barn arvsrätt efter fader. Varför anses det då vara så mycket viktigare att fastställa faderskapet, när det gäller arv, än när det gäller underhåll åt barnet? Kan icke underhållsskyldigheten, som ju i allmänhet sträcker sig över ett antal år, bli väl så betungande som ett eventuellt arv, som i många, ja i flertalet fall torde bli ganska minimalt eller kanske rent av obefintligt? Hänsynen till en framtida, legitim familjs rättigheter bör icke kunna vara avgörande, då ju vederbörande, med nu gällande underhållsskyldighet från faderns sida, icke gärna kunna sväva i okunnighet om det utomäktenskapliga barnets existens, och det sålunda icke kan förorsaka några obehagliga överraskningar för familjen. Det har jämväl i debatten om denna sak framhållits som ett skäl, att det skulle vara otrevligt, om en så att säga »främmande person» vid mannens frånfälle komme att tränga in i hemmet och pocka på arv. Även detta håller icke streck, sedan vi fått 1917 års lag, ty enligt denna lag skall faderskapet konstateras, medan barnet är minderårigt, och följaktligen kan det icke bliva tal om, att något främmande barn kan komma att tränga sig in och begära dylikt arv.</w:t>
        <w:br/>
        <w:br/>
        <w:t xml:space="preserve">Så anföres som skäl mot utsträckt arvsrätt, att detta ovillkorligen skulle draga med sig införandet av »exceptio plurium», vilket skulle medföra olägenheter för såväl </w:t>
      </w:r>
      <w:r>
        <w:rPr>
          <w:b/>
        </w:rPr>
        <w:t>mödrar²</w:t>
      </w:r>
      <w:r>
        <w:rPr>
          <w:b w:val="0"/>
        </w:rPr>
        <w:t xml:space="preserve"> som barn av sådan art, att ett dylikt pris för utsträckt arvsrätt åt ifrågavarande barn bleve för dyrt. Detta ha vi motionärer också till alla delar understrukit. Men vi anse icke införandet av exceptio plurium vara en ofrånkomlig anordning. För min del anser jag, att såväl män som </w:t>
      </w:r>
      <w:r>
        <w:rPr>
          <w:b/>
        </w:rPr>
        <w:t>kvinnor¹</w:t>
      </w:r>
      <w:r>
        <w:rPr>
          <w:b w:val="0"/>
        </w:rPr>
        <w:t xml:space="preserve"> böra lära sig att taga konsekvenserna av sina handlingar och icke övervältra dessa på oskyldiga. Jag anser nämligen, att lika väl som en </w:t>
      </w:r>
      <w:r>
        <w:rPr>
          <w:b/>
        </w:rPr>
        <w:t>kvinna¹</w:t>
      </w:r>
      <w:r>
        <w:rPr>
          <w:b w:val="0"/>
        </w:rPr>
        <w:t xml:space="preserve">, då </w:t>
      </w:r>
      <w:r>
        <w:rPr>
          <w:b/>
        </w:rPr>
        <w:t>hon²</w:t>
      </w:r>
      <w:r>
        <w:rPr>
          <w:b w:val="0"/>
        </w:rPr>
        <w:t xml:space="preserve"> inlåter sig på en förbindelse, måste taga risken av ett moderskap, så får mannen taga risken av ett faderskap och lära sig att bliva mera nogräknad med de förbindelser, han inleder. Jag skulle härvidlag vilja instämma med vad dåvarande ledamoten av lagutskottet, nuvarande socialministern Pettersson framhöll i debatten 1917 i denna fråga. Han anförde då bland annat: »Äktenskapets helgd kommer icke att lida, familjelivets lycka kommer icke att hotas, om denna lagändring beslutas. Men fäder, som sätta i världen barn utom äktenskapet, komma att för framtiden få lagens allvarliga påminnelse om, att varje människa måste själv bära de naturliga följderna av sina gärningar, och att det icke går för sig att krypa undan faderskapets ansvar.» Dessa hans ord skulle jag vilja kraftigt understryka liksom mycket av vad han i övrigt anförde i sitt vidsynta och varmhjärtade anförande vid detta tillfälle.</w:t>
        <w:br/>
        <w:br/>
        <w:t>Utskottet har ävenledes följt lagberedningen, då det gällt arvsrätten för barn födda i konkubinat och härvid föreburit samma skäl, nämligen att äktenskapet såsom samhällsinstitution eljest skulle försvagas. Jag underkänner ingalunda äktenskapets betydelse såsom samhällsinstitution, även om Jag anser, att denna institution redan på annat sätt har blivit ganska försvagad i nuvarande tid, särskilt för städernas vidkommande, att döma av det ständigt stigande antalet skilsmässor. Men jag kan därför icke finna någon rättvisa ligga däri att man straffar de barn, som födas i s. k. konkubinat, för föräldrarnas val av form för sitt samliv, och därför att denna form. icke vinner lagens gillande. Hänvisningen till att här skulle den i lagförslaget omförmälda arvsrättsförklaringen kunna komma till användning finner jag icke vara tillfyllest. Med kännedom om människors motvilja mot att göra dylika förklaringar, torde det säkerligen bli ett mycket ringa antal barn, som komma att tillförsäkras arvsrätt efter fader genom en dylik åtgärd.</w:t>
        <w:br/>
        <w:br/>
        <w:t>Utskottet har icke ens ansett sig kunna förorda arvsrätt åt barn i de fall, där faderskapet frivilligt erkänts, och där det åtminstone icke kan förebäras att faderskapet är omtvistat, utan konsekvent avvisat varje förslag till</w:t>
        <w:br/>
        <w:br/>
        <w:t xml:space="preserve">utökning av arvsrätten utöver de i propositionen angivna för den kategori av barn det här gäller. Denna avvisande hållning från utskottets sida är djupt att beklaga, särskilt som det här rör sig om en ganska stor grupp av blivande samhällsmedborgare. Statistiken utvisar nämligen, att det är ett synnerligen betydande antal av de barn, som födas till världen här i landet, som kommer under rubriken utomäktenskapliga, nämligen något över 14 4 av samtliga, eller omkring 20,000 per år. Vid ett föredrag, som hölls här i Stockholm av en </w:t>
      </w:r>
      <w:r>
        <w:rPr>
          <w:b/>
        </w:rPr>
        <w:t>kvinnlig¹</w:t>
      </w:r>
      <w:r>
        <w:rPr>
          <w:b w:val="0"/>
        </w:rPr>
        <w:t xml:space="preserve"> advokat, uppgavs att ungefär vart fjärde barn, som födes i Stockholm, är av utomäktenskaplig börd.</w:t>
        <w:br/>
        <w:br/>
        <w:t>Kanske är det någon här i kammaren, som här anför, att detta är ett bevis för sedeslöshetens tilltagande och att det ej utgör ett skäl till att vidtaga åtgärder för utsträckt arvsrätt, utan snarare tvärtom. Häremot vill jag ännu en gång göra den erinran, att det är oskyldiga barn det gäller och icke deras mer eller mindre klandervärda föräldrar.</w:t>
        <w:br/>
        <w:br/>
        <w:t xml:space="preserve">Jag erinrar mig, att vid denna frågas senaste behandling i riksdagen en ärad talare här i kammaren, som även är närvarande i dag, beklagade, att den gången saknades </w:t>
      </w:r>
      <w:r>
        <w:rPr>
          <w:b/>
        </w:rPr>
        <w:t>kvinnornas¹</w:t>
      </w:r>
      <w:r>
        <w:rPr>
          <w:b w:val="0"/>
        </w:rPr>
        <w:t xml:space="preserve"> stämma i denna fråga, som icke allenast rörde de utom äktenskapet födda barnen utan även deras olyckliga </w:t>
      </w:r>
      <w:r>
        <w:rPr>
          <w:b/>
        </w:rPr>
        <w:t>mödrar²</w:t>
      </w:r>
      <w:r>
        <w:rPr>
          <w:b w:val="0"/>
        </w:rPr>
        <w:t xml:space="preserve">. I dag ha </w:t>
      </w:r>
      <w:r>
        <w:rPr>
          <w:b/>
        </w:rPr>
        <w:t>kvinnorna¹</w:t>
      </w:r>
      <w:r>
        <w:rPr>
          <w:b w:val="0"/>
        </w:rPr>
        <w:t xml:space="preserve"> rätt att göra sin stämma hörd i den lagstiftande församlingen, vilket de då voro förmenade, och jag för min del har fattat det så, att de ha icke blott en rätt utan tillika en plikt att säga sin mening i denna angelägenhet. Jag beklagar endast, att jag saknar förmågan att på samma glänsande sätt, som de manliga förkämparna för denna sak år 1917, hävda kravet på rättfärdighet åt dessa de små och ringa 1 samhället. Men även i dag är det männen, som avgöra denna fråga, då vi endast äro ett fåtal </w:t>
      </w:r>
      <w:r>
        <w:rPr>
          <w:b/>
        </w:rPr>
        <w:t>kvinnor¹</w:t>
      </w:r>
      <w:r>
        <w:rPr>
          <w:b w:val="0"/>
        </w:rPr>
        <w:t xml:space="preserve"> här i riksdagen och jag dessutom icke ens vet, om samtliga dessa känna och tänka som jag. Men trots </w:t>
      </w:r>
      <w:r>
        <w:rPr>
          <w:b/>
        </w:rPr>
        <w:t>kvinnornas¹</w:t>
      </w:r>
      <w:r>
        <w:rPr>
          <w:b w:val="0"/>
        </w:rPr>
        <w:t xml:space="preserve"> fåtalighet vågar jag dock, med det starka stöd jag vet vi ha att räkna med från en del manliga ledamöter här i kammaren, hoppas att om än frågan icke heller nu kan lösas i önskvärd riktning den reservation, som avgivits vid denna punkt av herrar Klefbeck och Schlyter, och som avser att hålla frågan öppen för vidare utredning, skall vinna kammarens beaktande.</w:t>
        <w:br/>
        <w:br/>
        <w:t>I anslutning till vad jag sålunda anfört hemställer jag, herr talman, om bifall till den av herrar Klefbeck och Schlyter vid denna punkt avgivna reservationen.</w:t>
      </w:r>
    </w:p>
    <w:p>
      <w:pPr>
        <w:pStyle w:val="Heading2"/>
      </w:pPr>
      <w:r>
        <w:t>3. Theodor af Ekenstam (Lantmanna- och borgarepartiet inom andrakammaren, man)</w:t>
      </w:r>
    </w:p>
    <w:p>
      <w:r>
        <w:rPr>
          <w:b w:val="0"/>
        </w:rPr>
        <w:t xml:space="preserve">Herr talman! Då den sista ärade talarinnan påstod, att utskottet konsekvent avvisat alla förbättringar för de utomäktenskapliga barnen med hänsyn till arv efter fäderna, så gjorde </w:t>
      </w:r>
      <w:r>
        <w:rPr>
          <w:b/>
        </w:rPr>
        <w:t>hon²</w:t>
      </w:r>
      <w:r>
        <w:rPr>
          <w:b w:val="0"/>
        </w:rPr>
        <w:t xml:space="preserve"> sig naturligtvis skyldig till en rätt stor överdrift, vilket var och en som har studerat 3 kap. här i lagförslaget lätt kan konstatera.</w:t>
        <w:br/>
        <w:br/>
        <w:t xml:space="preserve">Det är nämligen här i 2 $ stadgat, att om barnet är trolovningsbarn eller om fadern avgivit förklaring, att barnet skall ha samma rätt till arv efter honom som barn av äktenskaplig börd, tager barnet arv efter fadern och fadern efter barnet såsom vore barnet av äktenskaplig börd. Det synes mig, som detta i alla fall är ett ganska stort framsteg på den väg, som den ärade talarinnan velat komma fram på. Att nu gå längre och att komma med påståenden, sådana som här nyss gjorts, är nog förenat med mycket allvarlig risk även för de parter, som den ärade talarinnan ville göra sig till målsman för. Som </w:t>
      </w:r>
      <w:r>
        <w:rPr>
          <w:b/>
        </w:rPr>
        <w:t>hon²</w:t>
      </w:r>
      <w:r>
        <w:rPr>
          <w:b w:val="0"/>
        </w:rPr>
        <w:t xml:space="preserve"> själv! sade, är det fråga om, huruvida det kan vara tänkbart att gå längre utan att komma in på frågan om exceptio plurium, d. v. s. på frågan om </w:t>
      </w:r>
      <w:r>
        <w:rPr>
          <w:b/>
        </w:rPr>
        <w:t>kvinnan¹</w:t>
      </w:r>
      <w:r>
        <w:rPr>
          <w:b w:val="0"/>
        </w:rPr>
        <w:t xml:space="preserve"> verk-</w:t>
        <w:br/>
        <w:br/>
        <w:t xml:space="preserve">ligen haft förbindelser med flera än en man. Något sådant har man icke nu velat låta lagstiftningen komma in på, ty i och med det att man skulle komma in på den sidan av saken, gör man nog efter min uppfattning både </w:t>
      </w:r>
      <w:r>
        <w:rPr>
          <w:b/>
        </w:rPr>
        <w:t>moder²</w:t>
      </w:r>
      <w:r>
        <w:rPr>
          <w:b w:val="0"/>
        </w:rPr>
        <w:t xml:space="preserve"> och Ra en vida sämre tjänst, än vad som bliver fallet enligt utskottets ståndpunkt.</w:t>
        <w:br/>
        <w:br/>
        <w:t>Under sådana förhållanden anser jag, att kammaren gör klokt i att för närvarande vara belåten med de steg, som nu tagits, varför jag, herr talman, yrkar bifall till utskottets förslag.</w:t>
        <w:br/>
        <w:br/>
        <w:t>Förklaring, varom i 2 $ sägs, skall avgivas inför den präst, som för kyrkoböckerna i församling, där barnet är kyrkobokfört, eller i tillkallat vittnes närvaro inför landsfiskal eller notarius publicus eller ock i skriftlig, av två personer bevittnad handling, som företetts inför barnavårdsmannen eller barnavårdsnämnden. Förklaringen må givas jämväl före barnets födelse. Har barnet fyllt aderton år, vare förklaringen ej gällande, med mindre den godkänts av barnet i den ordning, varom nyss är sagt.</w:t>
        <w:br/>
        <w:br/>
        <w:t>Förklaring, varom i 2 $ sägs, skall avgivas inför den präst, som för kyrkoböckerna i församling, där barnet är kyrkobokfört, eller i tillkallat vittnes närvaro inför landsfiskal, notarius publicus eller ordföranden i barnavårdsnämnden. Förklaringen må givas jämväl före barnets födelse. Har barnet fyllt aderton år, vare förklaringen ej gällande, med mindre den godkänts av barnet i den ordning, varom nyss är sagt.</w:t>
      </w:r>
    </w:p>
    <w:p>
      <w:pPr>
        <w:pStyle w:val="Heading2"/>
      </w:pPr>
      <w:r>
        <w:t>4. Theodor af Ekenstam (Lantmanna- och borgarepartiet inom andrakammaren, man)</w:t>
      </w:r>
    </w:p>
    <w:p>
      <w:r>
        <w:rPr>
          <w:b w:val="0"/>
        </w:rPr>
        <w:t>Herr talman! Vid denna paragraf är fogad en reservation av herr Borell m. fl. Det är nämligen så, att vi reservanter här vilja ha uteslutet från denna paragraf de ord, som innefattas uti: »eller ock i skriftlig, av två personer bevittnad handling, som företetts inför barnavårdsmannen eller barnavårdsnämnden». Vi ha däremot tänkt oss, att om verkligen barnavårdsmannen skall komma i fråga såsom en myndighet, inför vilken en förklaring skall lämnas, bör det ske i den högtidliga form, som låter sig göra därigenor att vederbörande med vittnen infinner sig hos honom.</w:t>
        <w:br/>
        <w:br/>
        <w:t>Anledningen till att vi funno oss böra göra denna reservation är den — och alldeles särskilt vill jag för egen del påpeka, att min erfarenhet lett mig därtill — det man gång på gång funnit vid domstolarna, att vid sådana här rätte-</w:t>
        <w:br/>
        <w:br/>
        <w:t xml:space="preserve">gångar, där det gäller att fastställa ersättning till barnet, uppfostringsbidrag, och möjligtvis faderskap, där detta av någon anledning är föremål för rättens prövning, så inlämnas från kärandens sida ett kontrakt, som innehåller, att svaranden-mannen åtagit sig att till det ifrågavarande barnet utge en viss Crsättning tills barnet hunnit så långt, att det kan taga hand om sig självt. Men kontraktet eller avhandlingen innehåller i de allra flesta fall också något mera. Det är en hel del tryckta bestämmelser, som finnas på detta kontrakt, och där står bl. a. i regel, att i och med det att mannen skrivit under kontraktet och sålunda efter sin uppfattning godkänt att lämna en viss ersättning, så har han också efter de tryckta bestämmelserna erkänt, att han är fader. Han bestrider dock, att han någonsin tagit del av dessa tryckta bestämmelser, och detta är också mycket möjligt. — Vi kunna mycket väl tänka oss, hur det går till. I allmänhet är det så, att då barnavårdsnämnden eller barnavårdsmannen får hand om en dylik sak, så kalla de till sig den utpekade mannen, om det går att få tag i honom; han kommer dit, och då framställer man i rätt så bevekande ordalag för honom hans skyldighet att på allt möjligt sätt ekonomiskt stödja </w:t>
      </w:r>
      <w:r>
        <w:rPr>
          <w:b/>
        </w:rPr>
        <w:t>kvinnan¹</w:t>
      </w:r>
      <w:r>
        <w:rPr>
          <w:b w:val="0"/>
        </w:rPr>
        <w:t>. Mer eller mindre godvilligt erkänner han, att det skall han göra, varvid han och barnavårdsmannen då enas om den summa, som skall erläggas. Så tages kontraktet fram och underskrives, och allt det där myckna, som finnes tryckt på handlingen, blir intet tillfälle för mannen att läsa igenom. Vi alla, som veta, hur lättvindigt det i allmänhet går till att få en underskrift på ett papper, kunna väl förstå, hur det även går till i detta fall. Sedan mannen sålunda på handlingen konstaterat, att han skall betala tjugufem kronor 1 månaden eller någonting sådant, är han nöjd, han skriver under sitt namn och saken är klar. Han har sålunda gått in på att betala dessa tjugufem kronor i månaden. Men på kontraktet står det också något mer, nämligen att han erkänner sig vara fader till barnet. Men därpå svarar han, att någonting sådant har han aldrig erkänt, den saken har gått honom totalt förbi. Det är för att få klarhet i detta hänseende som vi reserverat oss. Vi mena således, att om det verkligen skall komma i fråga, att någonting förhandlas inför barnavårdsnämnden eller barnavårdsmannen, så bör det ske i vittnes närvaro och på sådant sätt, att det är alldeles tydligt för mannen, att han vet, att han icke blott åtagit sig den ekonomiska sidan av saken utan också att han erkänt faderskapet.</w:t>
        <w:br/>
        <w:br/>
        <w:t>Det är därför, herr talman, som jag tillåter mig att yrka bifall till den reservation, som är fogad till denna paragraf.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