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564</w:t>
      </w:r>
    </w:p>
    <w:p>
      <w:r>
        <w:rPr>
          <w:b/>
        </w:rPr>
        <w:t xml:space="preserve">Datum: </w:t>
      </w:r>
      <w:r>
        <w:t>1928-04-25</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Ivar Österström (Folkpartiet, man)</w:t>
      </w:r>
    </w:p>
    <w:p>
      <w:r>
        <w:rPr>
          <w:b w:val="0"/>
        </w:rPr>
        <w:t xml:space="preserve">Herr talman! Det var herr Ljunglunds anförande, som föranledde mig att begära ordet. Herr Ljunglund, som är chefredaktör för en stor stockholmstidning, var nog älskvärd att vädja till kammaren till förmån för den svenska landsortspressen, som behövde dessa stipendier för att bli rensad från Grönköpingssynpunkterna. Jag förstår att herr Ljunglund inte vill tigga för sin sjuka </w:t>
      </w:r>
      <w:r>
        <w:rPr>
          <w:b/>
        </w:rPr>
        <w:t>mamma²</w:t>
      </w:r>
      <w:r>
        <w:rPr>
          <w:b w:val="0"/>
        </w:rPr>
        <w:t>, och jag skall därför från landsortspressen kvittera hans vänlighet genom att rikta en lika varm vädjan till kammaren till förmån för den del, som i detta hänseende kan falla på Stockholmspressen. För-</w:t>
        <w:br/>
        <w:br/>
        <w:t>hållandet är nämligen det, som bekant, att skillnaden mellan Trosa och Stockholm endast är den, att Stockholm är — ett något större Grönköping.</w:t>
      </w:r>
    </w:p>
    <w:p>
      <w:pPr>
        <w:pStyle w:val="Heading2"/>
      </w:pPr>
      <w:r>
        <w:t>2. David Bergström (Frisinnade folkpartiet, man)</w:t>
      </w:r>
    </w:p>
    <w:p>
      <w:r>
        <w:rPr>
          <w:b w:val="0"/>
        </w:rPr>
        <w:t>Herr talman! Efter denna lilla duell mellan landsorten och huvudstaden skall jag tillåta mig att säga några ord i själva sakfrågan. Representanten för statsutskottet, biskop Bergqvist, har här framhållit, att denna fråga — som det så ofta säges — bör ordnas i ett större sammanhang, om jag nu förstod honom rätt. Han erkände att det var ett behjärtansvärt ändamål, och det är icke underligt, att talesmannen för statsutskottet säger detta, ty herr Bergqvist minns nog mycket väl, under vilka förhållanden dessa stipendier, som nu icke ha utgått under en följd av år, en gång kommo till. Det skedde på en motion av tre ledamöter av denna kammare, av vilka de två fortfarande tillhöra densamma, och den ene sitter för närvarande i landets regering, och till och med som chef för denna regering. Det skedde med en den fullständigaste anslutning från ett enigt, fullständigt enigt statsutskott, denna gång även med en biskop i spetsen, nämligen biskop Billing. Det skedde sedermera genom ett fullständigt enhälligt beslut i första kammaren; det restes ej ett ord till invändning mot denna framställning.</w:t>
        <w:br/>
        <w:br/>
        <w:t>Nu är det visserligen alldeles riktigt, att vi till följd av tvingande, vi kunna Ju kalla dem krisomständigheter fått lägga ned dessa stipendier för en följd av år. Men det hindrar väl icke, mina herrar, att ännu alltjämt grunden till att riksdagen då biföll detta krav består, i riksdagens skrivelse uttryckt med de orden: »Såsom i motionerna framhålles lärer den betydelse, som ett lands tidningspress äger för folkets uppfostran, särskilt i politiskt avseende, få tillmätas en utomordentligt stor betydelse. Att under sådana omständigheter synnerlig vikt ligger däruppe, att publicisternas rekrytering och utbildning 1 sitt yrke försiggår under så gynnsamma förhållanden som möjligt, synes uppenbart; och då riksdagen delar den uppfattning, som i motionerna framställts, om det fördelaktiga inflytande i sådan riktning, som tillgången till resestipendier för beredande av möjlighet till studerande av såväl yrkestekniska som samhälleliga förhållanden på främmande platser kan antagas komma att utöva, har riksdagen ansett sig böra bevilja anslag för ändamålet.»</w:t>
        <w:br/>
        <w:br/>
        <w:t>Månne icke dessa skäl, säger Jag, äro lika talande nu, då vi säkerligen äro 1 tillfälle att trots tidernas växlingar lämna detta bidrag?</w:t>
        <w:br/>
        <w:br/>
        <w:t>Här är sagt av den ärade representanten för statsutskottet ett ord om den så kallade tredje statsmakten och dess betydelse. Ja, det ordet höra vi år efter år, då den första statsmakten och den andra statsmakten genom sina talesmän möta pressen, då denna har att se tillbaka på det gångna årets verksamhet. Detta säges alltid, men månne vi inte, mina herrar, borde också i handling säga det ännu en gång, och säga det precis lika tydligt som riksdagen gjorde är 1911, då den beslöt inrättandet av dessa stipendier?</w:t>
        <w:br/>
        <w:br/>
        <w:t>Jag tillåter mig, herr talman, att yrka bifall till reservationen.</w:t>
        <w:br/>
        <w:br/>
        <w:t xml:space="preserve">I herr David Bergströms yttrande instämde herrar Schlyter, Bergman och Thorén, </w:t>
      </w:r>
      <w:r>
        <w:rPr>
          <w:b/>
        </w:rPr>
        <w:t>fröken²</w:t>
      </w:r>
      <w:r>
        <w:rPr>
          <w:b w:val="0"/>
        </w:rPr>
        <w:t xml:space="preserve"> Hesselgren samt herrar Petrén och Örne.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564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