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567</w:t>
      </w:r>
    </w:p>
    <w:p>
      <w:r>
        <w:rPr>
          <w:b/>
        </w:rPr>
        <w:t xml:space="preserve">Datum: </w:t>
      </w:r>
      <w:r>
        <w:t>1928-04-28</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Östergren (Socialdemokraterna, man)</w:t>
      </w:r>
    </w:p>
    <w:p>
      <w:r>
        <w:rPr>
          <w:b w:val="0"/>
        </w:rPr>
        <w:t xml:space="preserve">Herr talman! Bankoutskottet har i år föreslagit nya principer i fråga om beviljande av dessa </w:t>
      </w:r>
      <w:r>
        <w:rPr>
          <w:b/>
        </w:rPr>
        <w:t>änkepensioner²</w:t>
      </w:r>
      <w:r>
        <w:rPr>
          <w:b w:val="0"/>
        </w:rPr>
        <w:t xml:space="preserve">, som det i detta utlåtande gäller. Utskottet har, som vi se av utlåtandet, velat tillstyrka bifall till pension eller understöd endast i det fall, att mannen är död under de senaste tio åren, varemot det yrkar avslag å förslagen om pension åt alla dem, vilkas män ha avlidit före den senaste tioårsperioden, oavsett under vilken tid männen varit anställda i statstjänst före sin död. Denna nya princip vid bedömandet av när understöd bör utgå kan jag för min del ej anse vara rättvis. Det kan ju finnas många fall, där mannen har avlidit exempelvis vid en 50 års ålder efter att hava under 30 år varit anställd i statstjänst, ja kanske till och med 35 år, om han börjat vid 15 års ålder. Men om han dött för 10!/; års tid sedan eller 11 år eller för längre tid sedan, då skulle ej hans efterlevande </w:t>
      </w:r>
      <w:r>
        <w:rPr>
          <w:b/>
        </w:rPr>
        <w:t>änka²</w:t>
      </w:r>
      <w:r>
        <w:rPr>
          <w:b w:val="0"/>
        </w:rPr>
        <w:t xml:space="preserve"> kunna tänka på något bidrag från staten, om </w:t>
      </w:r>
      <w:r>
        <w:rPr>
          <w:b/>
        </w:rPr>
        <w:t>hon²</w:t>
      </w:r>
      <w:r>
        <w:rPr>
          <w:b w:val="0"/>
        </w:rPr>
        <w:t xml:space="preserve"> också under dessa 10, 15 eller 18 år har med träget arbete försörjt sig och ej under denna tid anlitat någon hjälp från statskassan. Det har ju också under föregående år praktiserats den principen, att endast behovet har varit det avgörande, oavsett vilken tidrymd, som legat mellan statstjänarens död och den tid, då den efterlevande har begärt detta understöd. Jag vet särskilt ett fall, där mannen avled vid 47 års ålder efter bortåt 30 tjänsteår, och vi behandlade en motion om pension åt </w:t>
      </w:r>
      <w:r>
        <w:rPr>
          <w:b/>
        </w:rPr>
        <w:t>änkan²</w:t>
      </w:r>
      <w:r>
        <w:rPr>
          <w:b w:val="0"/>
        </w:rPr>
        <w:t xml:space="preserve"> och understöd åt </w:t>
      </w:r>
      <w:r>
        <w:rPr>
          <w:b/>
        </w:rPr>
        <w:t>hennes²</w:t>
      </w:r>
      <w:r>
        <w:rPr>
          <w:b w:val="0"/>
        </w:rPr>
        <w:t xml:space="preserve"> barn. Detta förslag avstyrktes av bankoutskottet på den grund, att </w:t>
      </w:r>
      <w:r>
        <w:rPr>
          <w:b/>
        </w:rPr>
        <w:t>änkan²</w:t>
      </w:r>
      <w:r>
        <w:rPr>
          <w:b w:val="0"/>
        </w:rPr>
        <w:t xml:space="preserve"> var för ung. </w:t>
      </w:r>
      <w:r>
        <w:rPr>
          <w:b/>
        </w:rPr>
        <w:t>Hon²</w:t>
      </w:r>
      <w:r>
        <w:rPr>
          <w:b w:val="0"/>
        </w:rPr>
        <w:t xml:space="preserve"> var då en 47 år och frisk, men det viskades man och man emellan inom utskottet, att när </w:t>
      </w:r>
      <w:r>
        <w:rPr>
          <w:b/>
        </w:rPr>
        <w:t>hon²</w:t>
      </w:r>
      <w:r>
        <w:rPr>
          <w:b w:val="0"/>
        </w:rPr>
        <w:t xml:space="preserve"> blivit gammal och orkeslös och fortfarande var ogift, då kunde </w:t>
      </w:r>
      <w:r>
        <w:rPr>
          <w:b/>
        </w:rPr>
        <w:t>hon²</w:t>
      </w:r>
      <w:r>
        <w:rPr>
          <w:b w:val="0"/>
        </w:rPr>
        <w:t xml:space="preserve"> mycket väl komma tilla och då kunde man bevilja understöd i den form, som då kunde anses vara skälig.</w:t>
        <w:br/>
        <w:br/>
        <w:t xml:space="preserve">Skulle denna nya princip, som nu är föreslagen, vinna riksdagens bifall, så skulle i ett sådant fall som det av mig påpekade </w:t>
      </w:r>
      <w:r>
        <w:rPr>
          <w:b/>
        </w:rPr>
        <w:t>änkan²</w:t>
      </w:r>
      <w:r>
        <w:rPr>
          <w:b w:val="0"/>
        </w:rPr>
        <w:t xml:space="preserve"> hava små möjligheter under den mellanliggande tiden att kunna hava någon utsikt till att få bidrag. Sådana fall som detta finnas ju här i utlåtandet i mångfald, och i alla dessa är pension avstyrkt. Den grupp efterlevande, som det här gäller, är ju i allmänhet efterlevande efter arbetare, som icke äro tillförsäkrade familjepension. Men man kan då fråga sig, om det kan vara med rättvisan förenligt, att just denna kategori efterlevande skall bli utan allt understöd därför att de ha uppehållit sig själva och arbetat, till dess deras krafter blivit alldeles slut och nu</w:t>
        <w:br/>
        <w:br/>
        <w:t>stå vid en ålder mellan 60, 70 eller 75 år i regel och kanske tillika äro sjuka. Detta exempel visar, att det är angeläget, att man får fram det lagförslag, som är påtänkt, om familjepension för extra statstjänare, så att dessa pensionsförhållanden kunna bli ordnade, utan att man, som nu är förhållandet, endast ifrån fall till fall motionsvis eller genom proposition från Kungl. Maj:t behöver lägga fram saken till beprövande. Det vore därför önskligt, om dessa förhållanden bleve så klarlagda, så stadfästa, att detta bleve den naturliga vägen, så att vi sluppe att behandla dem på det här sättet, och jag vill uttrycka den önskan i samband med behandlingen av denna fråga, att ett förslag i nu antydd riktning snart måtte komma fram till avgörande.</w:t>
        <w:br/>
        <w:br/>
        <w:t>Så som nu frågan ligger före, ber jag att få vädja till kammaren om bifall till Kungl. Maj:ts förslag i denna punkt. Förslaget har ju förut blivit i andra kammaren bifallet med en väldig majoritet och borde därför, synes det mig, också kunna tillmötesgås från denna kammares ledamöters sida, och ber jag därför, herr talman, att få yrka bifall till Kungl. Maj:ts förslag.</w:t>
      </w:r>
    </w:p>
    <w:p>
      <w:pPr>
        <w:pStyle w:val="Heading2"/>
      </w:pPr>
      <w:r>
        <w:t>2. Ludvig Widell (Första kammarens nationella parti, man)</w:t>
      </w:r>
    </w:p>
    <w:p>
      <w:r>
        <w:rPr>
          <w:b w:val="0"/>
        </w:rPr>
        <w:t xml:space="preserve">Herr talman! För min del ansluter jag mig visserligen i mångt och mycket till den kritik, som reservanterna hava riktat mot den nya princip, som bankoutskottet inaugurerat i den föredragna punkten, då utskottet förutsatt, att </w:t>
      </w:r>
      <w:r>
        <w:rPr>
          <w:b/>
        </w:rPr>
        <w:t>änkepension²</w:t>
      </w:r>
      <w:r>
        <w:rPr>
          <w:b w:val="0"/>
        </w:rPr>
        <w:t xml:space="preserve"> icke skall beviljas, då mer än 10 år förflutit efter mannens död. Liksom reservanterna tror jag, att en sådan princip, om den följes, kommer att leda till mycket beklagliga påföljder och alldeles icke kommer att medföra den fördel, som bankoutskottet tydligen anser. Jag tror, att, om man skall begränsa dessa understöd — och jag tror nog, att dessa pensioner blivit så talrika, att en begränsning är av nöden — så borde man helst gå en annan väg. Emellertid är det nog i alla fall önskvärt, att man, som bankoutskottets majoritet säger, kommer till mera fasta principer härvidlag och att det uppställes vissa grunder, efter vilka man skall gå vid utdelande av dessa pensioner. Det är alldeles uppenbart, att detta måste betraktas som ur alla synpunkter sett i hög grad önskligt. Då det icke för närvarande torde vara möjligt att uppställa några andra principer än att, som bankoutskottet här har sagt, även taga hänsyn till tidpunkten, då mannen dog, så torde man böra i viss mån ansluta sig härtill. Det förefaller mig dock alldeles omöjligt att nu på rak arm säga, att inga pensioner böra utdelas till änkor, vilkas män ”dött för mer än 10 år sedan. Detta antal år är av bankoutskottet taget utan någon som helst prövning, rent på måfå, och är således fullkomligt godtyckligt. För att man skall kunna inlåta sig på att fastställa grunder, efter vilka dessa </w:t>
      </w:r>
      <w:r>
        <w:rPr>
          <w:b/>
        </w:rPr>
        <w:t>änkepensioner²</w:t>
      </w:r>
      <w:r>
        <w:rPr>
          <w:b w:val="0"/>
        </w:rPr>
        <w:t xml:space="preserve"> skola utgå, så förefaller det mig absolut nödvändigt, att Kungl. Maj:t får pröva denna sak, innan bankoutskottet och riksdagen tar ståndpunkt till frågan. Endast Kungl. Maj:t kan, med stöd av Kungl. Maj:t underlydande ämbetsverk, verkställa den utredning, som erfordras för att kunna komma till ett rättvist och lämpligt resultat i detta fall. Jag anser således, att denna fråga borde av Kungl. Maj:t tagas under övervägande, men intill dess så har skett, synes det mig nödvändigt, att riksdagen och bankoutskottet vid denna riksdag tillämpa de principer, som hittills ha följts och således icke nu skära av på det sätt, som bankoutskottet här har föreslagit. Sedan vi från Kungl. Maj:t fått grunder till en annan organisation, kan man taga ståndpunkt till frågan om hur gränsen skall dragas, men för närvarande synes det mig vara rimligt, att riksdagen, på sätt som hittills alltid skett, prövar varje särskilt föreliggande fall för sig, om det är tillräckliga skäl anförda, och därefter fattar beslut, men icke, som bankoutskottet här har gjort, säger: alla de fall, där mannen dött för mer än 10 år sedan, taga vi ej upp till prövning, utan dem avstyrka vi utan vidare. Det är vad bankoutskottet har gjort, och det kan jag ej finna vara rättvist.</w:t>
        <w:br/>
        <w:br/>
        <w:t>Ett ytterligare skäl för mig att ställa mig på den ståndpunkten att icke motsälta mig, att eventuellt en begränsning sker även med hänsyn till tidpunkten, då mannen dog, under förutsättning av att Kungl. Maj:t tar saken under omprövning, ligger däri, att andra kammaren redan med mycket stor majoritet har beslutit detta. Andra kammaren har nämligen beslutit att bifalla Kungl. Maj:ts proposition beträffande beviljande av de här ifrågavarande pensionerna, men beträffande motiveringen har andra kammaren beslutit att godkänna utskottets motivering ända till på sid. 3 i andra stycket, där det står: »Under nuvarande förhållanden bör riksdagens verksamhet» ete. Detta och allt följande av motiveringen skulle utgå, och i stället skulle efter orden »därtill lämpad statsmyndighet» fortsättningen lyda: »Utarbetandet av sådana grunder bör emellertid under alla omständigheter ankomma på Kungl. Maj:t.»</w:t>
        <w:br/>
        <w:br/>
        <w:t>De övriga punkter, där reservation förekommer, har andra kammaren på grund härav återremitterat. Jag hoppas, att första kammaren måtte fatta samma beslut, och jag tillåter mig, herr talman, att i den nu föredragna punkten yrka bifall till Kungl. Maj:ts förslag samt yrka, att motiveringen blir den av utskottet anförda intill punkten »Under nuvarande förhållanden». Därefter skall allt följande utgå och ersättas med orden: »Utarbetandet av sådana grunder bör emellertid under alla omständigheter ankomma på Kungl. Maj:t.&gt; Som jag nämnt, har andra kammaren med mycket stor majoritet fattat detta beslut.</w:t>
      </w:r>
    </w:p>
    <w:p>
      <w:pPr>
        <w:pStyle w:val="Heading2"/>
      </w:pPr>
      <w:r>
        <w:t>3. Carl Svensson (Socialdemokraterna, man)</w:t>
      </w:r>
    </w:p>
    <w:p>
      <w:r>
        <w:rPr>
          <w:b w:val="0"/>
        </w:rPr>
        <w:t>Herr talman, mina herrar! Som ju redan har framhållits av de två föregående talarna och som också framgår av utskottets utlåtande, har bankoutskottet vid behandlingen av det till utskottet remitterade arbetsmaterialet upptagit till övervägande de rimliga gränser, som riksdagen bör uppdraga för sin verksamhet i avseende å beviljande av familjepensioner. Utskottet har nämligen kommit till den uppfattningen, att riksdagen håller på att glida in i en praxis, som både ur principiell och praktisk synpunkt är ohållbar. Den fråga det här gäller är ju frågan om vilka förpliktelser staten såsom arbetsgivare rimligen bör åtaga sig. Jag stryker under detta därför, att man på en del håll, även inom riksdagen, uppenbarligen icke har gjort denna utgångspunkt klar för sig utan ser dessa ting ifrån synpunkter, som kunna vara berättigade, endast när det gäller ordhandet av statens välfärdsanstalter, t. ex. när det gäller ordnandet av folkpensioneringen, eller i det kommunala understödsoch fattigvårdsarbetet.</w:t>
        <w:br/>
        <w:br/>
        <w:t xml:space="preserve">Staten som arbetsgivare har med avseende å sina ordinarie tjänstemän ordnat familjepensioneringen på det sättet, att tvång stadgats för vederbörande tjänstemän att tillhöra </w:t>
      </w:r>
      <w:r>
        <w:rPr>
          <w:b/>
        </w:rPr>
        <w:t>änkeoch²</w:t>
      </w:r>
      <w:r>
        <w:rPr>
          <w:b w:val="0"/>
        </w:rPr>
        <w:t xml:space="preserve"> pupillkassa och att själva bestrida avgifterna för sin familjs pensionering. Endast till förvaltningskostnaderra bidrager staten med avseende å den ordinarie tjänsteinnehavarens familjepensionering, d. v. s. i fråga om personalen vid kommunikationsverken tillkomma Ju vissa bidrag även till själva kostnaderna för pensioneringen: vid statens järnvägar exempelvis inkomsten från perrongbiljetter och sådant, men i huvudsak får även denna ordinarie personal själv bestrida kostnaderna för sin familjepensionering. För den extra ordinarie personalen och för arbetarepersonalen är det däremot ej ordnat i avseende å familjepensioneringen. Frånvaron av en sådan ordnad familjepensionering för dessa stora grupper har ju medfört, att riksdagen fått att syssla med frågor om beviljande av familjepension i speciella fall. Det började med mycket enstaka fall, där alldeles exceptionella omständigheter av ömmande slag förelågo. Fallen hava blivit allt flere, och riksdagens befattning med denna sak har tagit en allt större omfattning. Det är efter mitt förmenande ej någonting att säga om denna utveckling, i vad det gäller fall,</w:t>
        <w:br/>
        <w:br/>
        <w:t>som efter hand bliva aktuella genom vederbörande statstjänares dödsfall. TI avvaktan på ett reglerande av familjepensioneringen för dessa grupper av statstjänare, som det här är fråga om, anser jag det billigt och överensstämmande med statens förpliktelser som arbetsgivare, att staten bringar understöd till de efterlevande, där omständigheterna äro ömmande.</w:t>
        <w:br/>
        <w:br/>
        <w:t xml:space="preserve">En annan fråga är emellertid den retroaktiva tillämpningen av detta understödsbeviljande, och det är ju det, som här blivit den stora tvistefrågan. Om det kommer en åldrig </w:t>
      </w:r>
      <w:r>
        <w:rPr>
          <w:b/>
        </w:rPr>
        <w:t>kvinna¹</w:t>
      </w:r>
      <w:r>
        <w:rPr>
          <w:b w:val="0"/>
        </w:rPr>
        <w:t xml:space="preserve"> till en privat arbetsgivare och säger: »Min man har en gång 1 tiden arbetat hos er — han dog visserligen 1894. Sedan dess har Jag rett mig själv. Nu kan jag det ej längre. Var god och giv mig pension med hänsyn till, att min man en gång har stått i eder tjänst!», så är jag ganska övertygad om, att de allra flesta privata arbetsgivare i ett sådant fall skulle svara: » Vi äro för länge sedan lösta från förpliktelse i detta fall.&gt; Även om Jag hyser den meningen, att staten skall vara mönsterarbetsgivare och föregå med gott exempel, så måste jag dock som min mening uttala, att i ett sådant fall icke heller staten har någon förpliktelse — eller i varje fall ingen annan förpliktelse än den, som staten har mot varje annan fattig och sjuk människa. De förpliktelser, som härleda sig av att staten en gång varit arbetsgivare för </w:t>
      </w:r>
      <w:r>
        <w:rPr>
          <w:b/>
        </w:rPr>
        <w:t>änkans²</w:t>
      </w:r>
      <w:r>
        <w:rPr>
          <w:b w:val="0"/>
        </w:rPr>
        <w:t xml:space="preserve"> man, föreligga efter min mening icke längre. Sambandet mellan mannens statstjänst en gång i tiden och den situation, i vilken </w:t>
      </w:r>
      <w:r>
        <w:rPr>
          <w:b/>
        </w:rPr>
        <w:t>änkan²</w:t>
      </w:r>
      <w:r>
        <w:rPr>
          <w:b w:val="0"/>
        </w:rPr>
        <w:t xml:space="preserve"> befinner sig, vilket samband måste vara underlaget för pensionen, existerar icke längre.</w:t>
        <w:br/>
        <w:br/>
        <w:t>Det är från den utgångspunkten, som jag för min del betraktat frågan, då Jag ansett, att det är nödvändigt och rimligt att begränsa den understödsverksamhet, som bedrives av riksdagen själv.</w:t>
        <w:br/>
        <w:br/>
        <w:t>Nu har det sagts, bland annat av den siste ärade talaren, och jag vet, att det har anförts i andra kammaren tidigare i dag, att det är riktigt, att det behöver genomföras vissa generella bestämmelser och riktlinjer för denna verksamhet, men det är Kungl. Maj:t, som bör utarbeta och föreslå sådana riktlin- Jer. Jag medgiver att det ligger någonting uti denna erinran. Jag vill dock ej neka till, att jag hyst en viss betänksamhet, när jag övervägt frågan, om man från riksdagen bör skriva till Kungl. Maj:t och begära en utredning i denna fråga. Jag har tidigare under riksdagens gång givit uttryck åt oro över att de frågor angående ordnande av den extraordinarie personalens samt arbetarepersonalens pensionsförhållanden, som ligga hos Kungl. Maj:t, år efter år undanskjutas. Jag menar inte, att frågorna med flit förhalats, utan att det på grund av frågornas komplicerade natur ej blivit möjligt att förelägga dem för riksdagen. Kungl. Maj:t behandlar även frågan om familjepensioneringens ordnande för framtiden för de grupper om vilka jag talar. Om man nu hos Kungl. Maj:t också begär utredning om i vad mån ordnandet av familjepensioneringen skall ske retroaktivt, så kan man ju befara, att detta skall giva anledning till ett ytterligare undanskjutande av dessa pensionsfrågor. vilkas lösande enligt min uppfattning är av så utomordentligt stor vikt och betydelse. Jag hade trott, att riksdagen genom att själv bestämma gränserna för vad den i detta avseende vill göra skulle kunna, låt mig gärna säga det, hanka sig fram, till dess att riksdagen fått på sitt bord dessa frågor om ordnandet av pensioneringen för de grupper, för vilka den ännu ej är ordnad. Jag tror ej. att det kan sägas, att det vare sig principiellt eller praktiskt sett är orimligt. att riksdagen bestämmer sig för att hålla sig inom vissa åldersgränser, när det gäller understöd av detta slag. Jag anser således, att riksdagens första kammare har starka skäl att i detta avseende följa bankoutskottet. Jag vill visst inte motsätta mig utan gärna ansluta mig till, att man i motiveringen riktar en hemställan till Kungl. Maj:t att taga denna sak under övervägande. Jag undrar dock om det ej är lämpligt, att riksdagen i avvaktan nå resultatet av utredningen själv åvägabringar en viss begränsning. Faktiskt åstadkommer</w:t>
        <w:br/>
        <w:br/>
        <w:t xml:space="preserve">man genom att undanröja bankoutskottets ståndpunkt i detta avseende förhoppningar hos alla dessa gamla om att också de skola få pensionsunderstöd efter samma princip. När utredningen blivit färdig, kommer den kanske dock att visa, att detta ej är möjligt. Jag tror, att om, låt mig säga exempelvis riksdagsmännen i Stockholm skulle utveckla samma intresse för </w:t>
      </w:r>
      <w:r>
        <w:rPr>
          <w:b/>
        </w:rPr>
        <w:t>änkepensionsfrågor²</w:t>
      </w:r>
      <w:r>
        <w:rPr>
          <w:b w:val="0"/>
        </w:rPr>
        <w:t xml:space="preserve"> som riksdagsmännen i Karlskrona ha gjort under de senaste åren, så skulle det ej vara någon svårighet att till nästa riksdag presentera något eller några tusental sådana fall, som det här är fråga om. Det är säkerligen skäl att söka förhindra en sådan utveckling i avvaktan på den utredning, om vars anordnande alla nu synas vara ense. Jag hemställer om bifall till utskottets förslag.</w:t>
      </w:r>
    </w:p>
    <w:p>
      <w:pPr>
        <w:pStyle w:val="Heading2"/>
      </w:pPr>
      <w:r>
        <w:t>4. Ulrik Leander (Frisinnade folkpartiet, man)</w:t>
      </w:r>
    </w:p>
    <w:p>
      <w:r>
        <w:rPr>
          <w:b w:val="0"/>
        </w:rPr>
        <w:t xml:space="preserve">Herr talman! Var och en, som får en av honom väckt motion avstyrkt, har helt naturligt litet svårt att fatta de skäl, som av vederbörande utskott anförts för avstyrkandet. Men jag må dock säga, att inför den princip, som bankoutskottet här har uppställt, står man mer än annars undrande och spörjande. Jag vill nu inte säga, att principen strider mot det sunda förnuftet, men den strider åtminstone mot vanliga teorier eller emot vad man 1 allmänhet tror och tycker och tänker. Jag får besök av gamla änkor ibland, som önska, att jag måtte söka utverka pension eller understöd åt dem. TI förbigående vill jag upplysa om, att dessas antal, som besöka mig, är mycket större än vad som kommer till synes 1 de motioner, jag framlagt i riksdagen. Om därför någon tror, att jag genast är färdig att skriva en motion till förmån för den första bästa, som infinner sig, så ber jag att få taga honom ur denna villfarelse. Men om det nu infinner sig en gammal </w:t>
      </w:r>
      <w:r>
        <w:rPr>
          <w:b/>
        </w:rPr>
        <w:t>kvinna¹</w:t>
      </w:r>
      <w:r>
        <w:rPr>
          <w:b w:val="0"/>
        </w:rPr>
        <w:t xml:space="preserve">, vars man länge har varit 1 kronans tjänst och som själv varit </w:t>
      </w:r>
      <w:r>
        <w:rPr>
          <w:b/>
        </w:rPr>
        <w:t>änka²</w:t>
      </w:r>
      <w:r>
        <w:rPr>
          <w:b w:val="0"/>
        </w:rPr>
        <w:t xml:space="preserve"> under en längre tid och nu har kommit till hög ålder, med anhållan, att jag måtte försöka utverka pension för </w:t>
      </w:r>
      <w:r>
        <w:rPr>
          <w:b/>
        </w:rPr>
        <w:t>henne²</w:t>
      </w:r>
      <w:r>
        <w:rPr>
          <w:b w:val="0"/>
        </w:rPr>
        <w:t xml:space="preserve">, då tycker jag, att det är helt naturligt, att jag åtminstone bör göra ett försök 1 det fallet, ty jag anser att det är ganska förnuftigt, om jag resonerar sålunda: Denna gamla </w:t>
      </w:r>
      <w:r>
        <w:rPr>
          <w:b/>
        </w:rPr>
        <w:t>kvinna¹</w:t>
      </w:r>
      <w:r>
        <w:rPr>
          <w:b w:val="0"/>
        </w:rPr>
        <w:t xml:space="preserve"> har, under det </w:t>
      </w:r>
      <w:r>
        <w:rPr>
          <w:b/>
        </w:rPr>
        <w:t>hon²</w:t>
      </w:r>
      <w:r>
        <w:rPr>
          <w:b w:val="0"/>
        </w:rPr>
        <w:t xml:space="preserve"> orkade arbeta, försökt draga sig fram och sträva för sitt uppehälle utan att anlita statens hjälp. Nu äro krafterna förbrukade, nu orkar </w:t>
      </w:r>
      <w:r>
        <w:rPr>
          <w:b/>
        </w:rPr>
        <w:t>hon²</w:t>
      </w:r>
      <w:r>
        <w:rPr>
          <w:b w:val="0"/>
        </w:rPr>
        <w:t xml:space="preserve"> ej mer. För övrigt kan det på grund av </w:t>
      </w:r>
      <w:r>
        <w:rPr>
          <w:b/>
        </w:rPr>
        <w:t>hennes²</w:t>
      </w:r>
      <w:r>
        <w:rPr>
          <w:b w:val="0"/>
        </w:rPr>
        <w:t xml:space="preserve"> ålder, ej bli någon längre tid, varunder staten behöver lämna </w:t>
      </w:r>
      <w:r>
        <w:rPr>
          <w:b/>
        </w:rPr>
        <w:t>henne²</w:t>
      </w:r>
      <w:r>
        <w:rPr>
          <w:b w:val="0"/>
        </w:rPr>
        <w:t xml:space="preserve"> understöd, så att det kan ju ej bli någon avskräckande summa. Därför: om man någon gång skall söka utverka pension för en människa, så bör det vara för en sådan. »Nej», säger nu utskottet genom den princip, som det uppställt, »nej, så är det ej! Den, som tror det, han far vilse. Ju yngre </w:t>
      </w:r>
      <w:r>
        <w:rPr>
          <w:b/>
        </w:rPr>
        <w:t>änkan²</w:t>
      </w:r>
      <w:r>
        <w:rPr>
          <w:b w:val="0"/>
        </w:rPr>
        <w:t xml:space="preserve"> är, ju kortare tid </w:t>
      </w:r>
      <w:r>
        <w:rPr>
          <w:b/>
        </w:rPr>
        <w:t>hon²</w:t>
      </w:r>
      <w:r>
        <w:rPr>
          <w:b w:val="0"/>
        </w:rPr>
        <w:t xml:space="preserve"> varit </w:t>
      </w:r>
      <w:r>
        <w:rPr>
          <w:b/>
        </w:rPr>
        <w:t>änka²</w:t>
      </w:r>
      <w:r>
        <w:rPr>
          <w:b w:val="0"/>
        </w:rPr>
        <w:t xml:space="preserve"> och ju längre som staten har utsikt att få lämna </w:t>
      </w:r>
      <w:r>
        <w:rPr>
          <w:b/>
        </w:rPr>
        <w:t>henne²</w:t>
      </w:r>
      <w:r>
        <w:rPr>
          <w:b w:val="0"/>
        </w:rPr>
        <w:t xml:space="preserve"> understöd, Ju bättre är det!&gt; Med andra ord: en sådan, som begär litet, </w:t>
      </w:r>
      <w:r>
        <w:rPr>
          <w:b/>
        </w:rPr>
        <w:t>hon²</w:t>
      </w:r>
      <w:r>
        <w:rPr>
          <w:b w:val="0"/>
        </w:rPr>
        <w:t xml:space="preserve"> skall ej ha understöd, men en sådan, som begär mera, </w:t>
      </w:r>
      <w:r>
        <w:rPr>
          <w:b/>
        </w:rPr>
        <w:t>hon²</w:t>
      </w:r>
      <w:r>
        <w:rPr>
          <w:b w:val="0"/>
        </w:rPr>
        <w:t xml:space="preserve"> skall få. Det kan ju låta drastiskt att göra en sådan slutsats, men jag kan icke deducera fram något annat ur utskottets uppställda princip. Jag har alltid tänkt, att det skulle vara mannens anställningstid, som borde ligga till grund för pensioneringen av hans efterlevande </w:t>
      </w:r>
      <w:r>
        <w:rPr>
          <w:b/>
        </w:rPr>
        <w:t>änka²</w:t>
      </w:r>
      <w:r>
        <w:rPr>
          <w:b w:val="0"/>
        </w:rPr>
        <w:t xml:space="preserve">, och ej den tid, varunder </w:t>
      </w:r>
      <w:r>
        <w:rPr>
          <w:b/>
        </w:rPr>
        <w:t>hon²</w:t>
      </w:r>
      <w:r>
        <w:rPr>
          <w:b w:val="0"/>
        </w:rPr>
        <w:t xml:space="preserve"> har levat såsom </w:t>
      </w:r>
      <w:r>
        <w:rPr>
          <w:b/>
        </w:rPr>
        <w:t>änka²</w:t>
      </w:r>
      <w:r>
        <w:rPr>
          <w:b w:val="0"/>
        </w:rPr>
        <w:t>.</w:t>
        <w:br/>
        <w:br/>
        <w:t>Det kunde nu vara ganska mycket att säga om den uppställda principen, men jag vill verkligen ej förlänga debatten. Jag ber dock, herr talman, att få säga ännu ett ord. För några dagar sedan diskuterade vi ganska grundligt, länge och väl, frågan om bästa sättet att kunna fylla klyftan mellan fattiga och rika. Jag menar, att om man nu beviljar dessa gamla fattiga änkor en skärv, så försöker man åtminstone göra något i den vägen. Det är ett ganska blygsamt försök visserligen, men det kan dock vara ett försök. Här gäller det</w:t>
        <w:br/>
        <w:br/>
        <w:t>en klass,, som lever i skymundan, som för en hårdare kamp för tillvaron än de flesta andra, och för övrigt en klass, som har mycket små anspråk på livet och som är nöjd med det lilla den får. Det begäres nu inga stora summor, men denna summa, varom man anhåller för var och en av dem, 384 kronor, lyser ändå upp deras ålderdom; den lättar deras börda, och genom att de erhålla en sådan liten summa från det allmänna, från staten, så få de dock en smula med av samhällets gemensamma goda, och därför tycker jag, att de, som önska fylla klyftan mellan fattiga och rika, de borde åtminstone vara med om att bevilja dessa små understöd till de fattiga änkorna.</w:t>
        <w:br/>
        <w:br/>
        <w:t>Om man nu med utskottets ärade ordförande tycker, att vi ha för stort intresse nere i Karlskrona för dessa änkor, så ber jag att få säga, att det skämmas vi ej för, utan jag anser, att det verkligen är hedersamt, och om även stockholmsrepresentanterna vilja hysa samma intresse för fattiga änkor, så skall jag ej klandra dem därför.</w:t>
        <w:br/>
        <w:br/>
        <w:t>Jag ber alltså, herr talman, att få instämma i herr Widells yrkande, d. v. s. om bifall till Kungl. Maj:ts förslag i båda punkterna, vilket är detsamma som bifall till utskottets förslag i punkt a) och bifall till reservationen i punkt b). och för övrigt ber jag att också beträffande motiveringen få instämma i vad herr Widell här har föreslagit.</w:t>
      </w:r>
    </w:p>
    <w:p>
      <w:pPr>
        <w:pStyle w:val="Heading2"/>
      </w:pPr>
      <w:r>
        <w:t>5. Charles Lindley (Socialdemokraterna, man)</w:t>
      </w:r>
    </w:p>
    <w:p>
      <w:r>
        <w:rPr>
          <w:b w:val="0"/>
        </w:rPr>
        <w:t>Herr talman! Jag beklagar, att Kungl. Maj:t har blivit den, som här har träffats av den utav utskottet tillämpade grundsatsen om fastställande av en tidsbegränsning, när det gäller att bevilja pensioner av den art, som det här är fråga om. Vi ha ju förut behandlat dessa frågor ganska liberalt, men det har endast varit, när det gällt några enstaka undantagsfall, som man har kunnat låta det goda hjärtat tala. Det blir naturligtvis något annorlunda, när det är fråga om en massproduktion av framställningar till förmån för änkor, som man här försöker att åstadkomma pensioner åt. Nu måste jag säga, att jag för min del verkligen tycker, att i många fall kan vår ståndpunkt kanske synas ganska sträng, i all synnerhet när det gäller en ny princip, som vi förut ej upptagit. För en liten stund sedan förelåg här utskottets utlåtande. nar 30, vari vi behandlat en hel del fall, där det gällt t. ex. gamla personer, som varit anställda i statens tjänst, kommunikationsverkens arbetare, som varit anställda i 21 års tid, men vi ha icke ansett, att vi kunde bevilja dem någon pension. Dessa ha dock arbetat i statens tjänst, men här anses det, att man utan vidare skall bevilja änkor pension endast på grund av att en framställning har skett i den riktningen. TI det ena fallet är det ju så, att mannen själv har arbetat i statens tjänst, men vi ha av principiella skäl ej kunnat gå med på att bevilja någon pension åt en sådan man därför, att alltför lång tid har förflutit, sedan han lämnat statstjänsten. Å andra sidan anses det nu, att vi utan vidare skola bevilja understöd åt änkor, oavsett under hur lång tid mannen varit död.</w:t>
        <w:br/>
        <w:br/>
        <w:t xml:space="preserve">Nu säger man: andra kammaren har allaredan beslutat att bevilja pension i det nu ifrågavarande fallet och vill sedermera överlämna åt Kungl. Maj:t att närmare titta på saken och utforma nödiga bestämmelser. Kan Kungl. Maj:t göra detta? Jag frågar: var skall gränsen sättas, om vi här bifalla det nu föreliggande förslaget? Ty vi måste komma ihåg, att om vi godkänna Kungl. Maj:ts proposition i det här fallet, så följa i dess kölvatten alla motioner, som här föreligga beträffande fall, som sträcka sig ganska långt tillbaka i tiden. Vi ha här att räkna med konsekvenserna. Det finnes en högerman i andra kammaren, som har begärt pension åt en </w:t>
      </w:r>
      <w:r>
        <w:rPr>
          <w:b/>
        </w:rPr>
        <w:t>änka²</w:t>
      </w:r>
      <w:r>
        <w:rPr>
          <w:b w:val="0"/>
        </w:rPr>
        <w:t xml:space="preserve">, vars man avled för 34 år sedan, och på grund av, att han vill åstadkomma en pension åt </w:t>
      </w:r>
      <w:r>
        <w:rPr>
          <w:b/>
        </w:rPr>
        <w:t>henne²</w:t>
      </w:r>
      <w:r>
        <w:rPr>
          <w:b w:val="0"/>
        </w:rPr>
        <w:t>, måste han konsekvent också rösta för alla de andra. Följaktligen följer han med i reservationerna till förmån för alla de andra. Ett godkännande av Kungl. Maj:ts förslag här betyder ju sedermera, att denna kammare kommer att acceptera alla</w:t>
        <w:br/>
        <w:br/>
        <w:t>de andra pensionsyrkandena också och skicka dem tillbaka till utskottet. Vad skall utskottet då göra? Bifalla utan vidare? Hur skall det egentligen vara möjligt för Kungl. Maj:t att kunna sätta någon gräns, utan att Kungl. Maj:t ovillkorligen måste åstadkomma en orättvisa gentemot alla dessa, som komma efteråt? Det är ju mycket möjligt, att man i Karlskrona kan bli belåten, ty det torde knappast vara möjligt att finna några änkor i Karlskrona, som ej allaredan ha fått pension. Det är ju den sista bottenskrapningen, som nu är gjord. Skulle man på alla andra platser vara avstängd från varje möjlighet? Skall en orättvisa tillfogas dem? »Ja», säger herr Leander, »vi ha skipat rättvisa åt Karlskronaänkorna. Sedan bry vi oss ej om, hur det går med de andra.» Eller vill verkligen herr Leander hävda den principen, att vad vi här fastslå skall gälla även för alla andra änkor, som skulle kunna uppspåras i detta land?</w:t>
        <w:br/>
        <w:br/>
        <w:t>När så herr Leander säger, att man på det här sättet skall fylla ut klyftan mellan fattiga och rika, ja, då begriper j Jag sannerligen ej, vilken valör han vill inlägga i 1 dessa ord. Ty då skulle vi ju dela ut, kan man säga, nationalegendomen 1 små pepparkornsandelar, så att var och en får sin beskärda del, men det är ej på det sätt, som vi ha tänkt att åstadkomma en utjämning mellan fattiga och rika, och ej heller kan man åstadkomma den utjämningen därmed, att man giver en del änkor en pension på 384 kronor. Ja, nu är det ju visserligen ej 384 kronor, som det egentligen gäller, ty på det beloppet tillkommer dyrtidstilllägg, så att i realiteten blir det något över 500 kronor. Och är det så, att det kommer att bli ett mycket stort antal änkor, som få pension, då kommer detta säkerligen att bli någonting, som man även i budgetärt hänseende måste räkna med.</w:t>
        <w:br/>
        <w:br/>
        <w:t>Det är alla dessa omständigheter, som gjort, att jag för min enskilda del hoppas, att trots vad andra kammaren beslutat, första kammaren, som ju skall representera den större mognaden, icke instämmer i andra kammarens beslut utan bifaller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