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1788</w:t>
      </w:r>
    </w:p>
    <w:p>
      <w:r>
        <w:rPr>
          <w:b/>
        </w:rPr>
        <w:t xml:space="preserve">Datum: </w:t>
      </w:r>
      <w:r>
        <w:t>1928-05-15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 xml:space="preserve">Herr talman! Då kammaren för en tid sedan behandlade Ang. pension bankoutskottets utlåtande nr 32, gällde striden huvudsakligen en principfråga, 5 Aaptöngren nämligen hur riksdagen i fortsättningen skulle ställa sig med anledning av "ss </w:t>
      </w:r>
      <w:r>
        <w:rPr>
          <w:b/>
        </w:rPr>
        <w:t>änka²</w:t>
      </w:r>
      <w:r>
        <w:rPr>
          <w:b w:val="0"/>
        </w:rPr>
        <w:t xml:space="preserve">. utskottets förslag, att inga, som varit änkor över tio år, skulle kunna få någon (Forts.) statspension. Andra kammaren underkände denna mening och tog icke utskottets förslag. Första kammaren däremot tog utskottets förslag. Vi ha som en följd härav i den elfte av dagens omröstningar röstat om den </w:t>
      </w:r>
      <w:r>
        <w:rPr>
          <w:b/>
        </w:rPr>
        <w:t>änkepension²</w:t>
      </w:r>
      <w:r>
        <w:rPr>
          <w:b w:val="0"/>
        </w:rPr>
        <w:t>, som avhandlades i den första punkten i det ifrågavarande utlåtandet. Andra kammarens mening har därvid hävdats även vid det tillfället. Den princip, som bankoutskottet gick in för, är alltså icke gällande, utan riksdagen har i fortsättningen fri prövningsrätt.</w:t>
        <w:br/>
        <w:br/>
        <w:t>Med anledning av den ställning, som andra kammaren intog vid behandlingen av det av mig omtalade utlåtandet, återremitterades en hel del punkter, nämligen samtliga de, som nu återfinnas i bankoutskottets utlåtande nr 43. Första kammaren återremitterade ingenting, och bankoutskottet har därför icke kunnat göra annat än hemställa till andra kammaren att fatta beslut i de olika punkterna.</w:t>
        <w:br/>
        <w:br/>
        <w:t>Det har naturligtvis varit många, i synnerhet motionärer, som ansett, att det hade varit bra, om dessa frågor kunnat bli sakbehandlade i utskottet. På grund av de olika beslut, som fattades i kamrarna, har emellertid utskottet icke kunnat gå in på någon realprövning av dessa ärenden, utan de äro fortfarande oprövade av utskottet, med undantag av ett enda fall, nämligen punkten 13:o i det föreliggande utlåtandet nr 43. I denna punkt hade utskottet i utlåtandet nr 32 hemställt om avslag, men till punkten hade fogats en reservation av herrar Olsson i Berg, Wikström och Höglund med hemställan om ett årligt understöd. Denna punkt kan sålunda sägas vara realbehandlad av utskottet. Alla de övriga äro det emellertid ej.</w:t>
        <w:br/>
        <w:br/>
        <w:t>Jag tror, att det vore förståndigt, om man nu i denna kammare ville godtaga första kammarens ståndpunkt, med undantag möjligen av trettonde punkten. Jag skall icke yttra mig om den för tillfället, men den är som sagt 1 varje fall realbehandlad. Man kan ju tänka sig, att Kungl. Maj:t och motionärerna skulle kunna återkomma för att få övriga frågor realbehandlade av riksdagen nästa år, ty det kan icke sägas, att de nu äro utskottsbehandlade. Utskottet stannade ju för sin tioårsprincip, på vilken alla dessa framställningar fallit, men denna princip har riksdagen icke godkänt. Det finnes då all anledning, att dessa frågor böra få realprövas i utskottet.</w:t>
        <w:br/>
        <w:br/>
        <w:t>Om man nu ville driva fram dessa frågor här, är det möjligt, att man skulle kunna vinna på en eller annan punkt, men jag antar, att andra kammaren icke är beredd att taga ett tjugutal pensionsärenden, som icke realbehandlats i utskottet. Även om andra kammaren skulle göra detta, är det dock osäkert, om de komma att bifallas vid en gemensam votering, och då kunna icke dessa frågor med någon utsikt att bliva bifallna komma tillbaka till riksdagen. För min del anser jag därför att det vore riktigast att nu gå på samma linje och fatta samma beslut som första kammaren, nämligen att i enlighet med utskottets hemställan avslå de föreliggande framställningarna. Vid sådant förhållande böra Kungl. Maj:t och motionärerna återkomma med dessa ärenden, i den mån som det kan behövas nästkommande år, då de kunna få sin realprövning.</w:t>
        <w:br/>
        <w:br/>
        <w:t>Detta är min principiella ståndpunkt angående behandlingen av detta utskottsutlåtande. Jag ber därför att få yrka, att kammaren i fråga om punkt 1 1 föreliggande utskottsmemorial nr 43 bifaller, vad bankoutskottet hemställt under punkt 4 i sitt utlåtande nr 32.</w:t>
      </w:r>
    </w:p>
    <w:p>
      <w:pPr>
        <w:pStyle w:val="Heading2"/>
      </w:pPr>
      <w:r>
        <w:t>2. Carl Wilhelm Oskar Höglund (Socialdemokraterna, man)</w:t>
      </w:r>
    </w:p>
    <w:p>
      <w:r>
        <w:rPr>
          <w:b w:val="0"/>
        </w:rPr>
        <w:t>Herr talman! Endast några ord!</w:t>
        <w:br/>
        <w:br/>
        <w:t xml:space="preserve">Herr Bäcklund har redogjort för behandlingen av dessa ärenden och erinrat om att vi i den senaste gemensamma voteringen satt pricken över iet genom att besluta bifalla den framställning om </w:t>
      </w:r>
      <w:r>
        <w:rPr>
          <w:b/>
        </w:rPr>
        <w:t>änkepension²</w:t>
      </w:r>
      <w:r>
        <w:rPr>
          <w:b w:val="0"/>
        </w:rPr>
        <w:t>, som behandlats i bankoutskottets betänkande nr 32.</w:t>
        <w:br/>
        <w:br/>
        <w:t xml:space="preserve">Nu dels menar herr Bäcklund, att föreliggande frågor icke blivit realbehandlade, och dels tror han, att om dessa pensioner skulle falla vid en gemensam votering, det bleve svårt att komma tillbaka med framställningar därom. För min del tror jag, att även om vi vågade en sådan risk som en gemensam votering om dessa </w:t>
      </w:r>
      <w:r>
        <w:rPr>
          <w:b/>
        </w:rPr>
        <w:t>änkepensioner²</w:t>
      </w:r>
      <w:r>
        <w:rPr>
          <w:b w:val="0"/>
        </w:rPr>
        <w:t>, och dessa föllo skulle det icke bli omöjligt för motionärerna att komma igen. Vad jag i detta fall särskilt tycker icke är bra, det är, att dessa stackars fattiga änkor under sådana förhållanden få vänta ett år till, innan de kunna komma i åtnjutande av dessa pensioner. Vi få komma ihåg, att en del av dem stå så att säga med ena foten i graven. När man är 75 år eller bortåt 80 år, så har man ju mänskligt att döma inte så lång tid kvar att leva. Jag menar därför, herr talman, att man kan taga den risk, varom herr Bäcklund talade.</w:t>
        <w:br/>
        <w:br/>
        <w:t>Vad realprövningen angår, vill jag säga, att om jag varit i tillfälle att deltaga i dessa ärendens behandling i utskottet, så hade jag otvivelaktigt reserverat mig för bifall till samtliga framställningar om pensioner, som här föreligga. Då hade det funnits en reservation i denna riktning, och det är ju detta, som kan anses tyda på, att frågan blivit realbehandlad. Ty vad är det för mera realbehandling i fråga om punkt 1 än i fråga om övriga punkter. En del punkter stamma från Kungl. Maj:t direkt, och det brukar ju vara ett tecken på att de verkligen blivit realprövade från början, och under sådana förhållanden förstår jag icke, varför man skall gå på avslag även på dem.</w:t>
        <w:br/>
        <w:br/>
        <w:t xml:space="preserve">För övrigt skall jag be att få yttra mig även på de följande punkterna. Jag för min del är övertygad om att, efter vad nu hänt, dessa punkter kunna vinna en slutgiltig behandling. Här är att märka, att det är fråga om en </w:t>
      </w:r>
      <w:r>
        <w:rPr>
          <w:b/>
        </w:rPr>
        <w:t>änka²</w:t>
      </w:r>
      <w:r>
        <w:rPr>
          <w:b w:val="0"/>
        </w:rPr>
        <w:t xml:space="preserve">, som är 66 år gammal och vars man tjänat kronan i 34 år. Det föreligger sjukdom för </w:t>
      </w:r>
      <w:r>
        <w:rPr>
          <w:b/>
        </w:rPr>
        <w:t>hennes²</w:t>
      </w:r>
      <w:r>
        <w:rPr>
          <w:b w:val="0"/>
        </w:rPr>
        <w:t xml:space="preserve"> vidkommande, som gör </w:t>
      </w:r>
      <w:r>
        <w:rPr>
          <w:b/>
        </w:rPr>
        <w:t>henne²</w:t>
      </w:r>
      <w:r>
        <w:rPr>
          <w:b w:val="0"/>
        </w:rPr>
        <w:t xml:space="preserve"> oförmögen till vidare arbete, och </w:t>
      </w:r>
      <w:r>
        <w:rPr>
          <w:b/>
        </w:rPr>
        <w:t>hon²</w:t>
      </w:r>
      <w:r>
        <w:rPr>
          <w:b w:val="0"/>
        </w:rPr>
        <w:t xml:space="preserve"> är medellös. Det är de förutsättningar, som bruka vara de gällande, när man går att bevilja dylika pensioner.</w:t>
        <w:br/>
        <w:br/>
        <w:t>Därför skulle jag, herr talman, vilja hemställa, att riksdagen ville bifalla Kungl. Maj:ts ifrågavarande framställning.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1788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