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1793</w:t>
      </w:r>
    </w:p>
    <w:p>
      <w:r>
        <w:rPr>
          <w:b/>
        </w:rPr>
        <w:t xml:space="preserve">Datum: </w:t>
      </w:r>
      <w:r>
        <w:t>1928-05-23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Olsson (–, man)</w:t>
      </w:r>
    </w:p>
    <w:p>
      <w:r>
        <w:rPr>
          <w:b w:val="0"/>
        </w:rPr>
        <w:t>Herr Brännström anförde den fiskaliska synpunkten som motivering för sitt ställningstagande på utskottets sida i denna paragraf. Det har väl förbigått herr Brännström, att, om det skulle knipa, den fiskaliska synpunkten blir tillgodosedd även i det förslag, som reservanterna framställt. Det blir absolut samma resultat, ty även enligt detta förslag kan man i sista hand taga ut skatten av jordägaren.</w:t>
        <w:br/>
        <w:br/>
        <w:t xml:space="preserve">Skattskyldig, som under beskattningsåret haft husföreståndarinna hos sig anställd, äger, därest han varit ogift (varmed jämställes änkling, </w:t>
      </w:r>
      <w:r>
        <w:rPr>
          <w:b/>
        </w:rPr>
        <w:t>änka²</w:t>
      </w:r>
      <w:r>
        <w:rPr>
          <w:b w:val="0"/>
        </w:rPr>
        <w:t xml:space="preserve"> eller frånskild) och haft hemmavarande barn, för vilket han varit berättigad erhålla avdrag, att åtnjuta samma familjeavdrag, som tillkommer skattskyldig för </w:t>
      </w:r>
      <w:r>
        <w:rPr>
          <w:b/>
        </w:rPr>
        <w:t>hustru²</w:t>
      </w:r>
      <w:r>
        <w:rPr>
          <w:b w:val="0"/>
        </w:rPr>
        <w:t>.</w:t>
        <w:br/>
        <w:br/>
        <w:t>För barn, vilkas föräldrar icke varit under beskattningsåret gifta med varandra eller, ehuru gifta med varandra, levt åtskilda, skall, därest enligt nu givna bestämmelser båda föräldrarna skulle vara berättigade till avdrag för barnet, avdraget tillkomma fadern, om denne haft barnet i sin vård under hela eller större delen av beskattningsåret, men eljest modern.</w:t>
        <w:br/>
        <w:br/>
        <w:t>2. Av bestämmelserna i 52 $ 1 mom. framgår, att makar, som under beskattningsåret levt tillsammans, äga att gemensamt åtnjuta ett grundavdrag, ett avdrag för make och, i förekommande fall, ett avdrag för varje barn.</w:t>
        <w:br/>
        <w:br/>
        <w:t>3. Till ledning vid tillämpningen av bestämmelserna i 3 mom. anföres följande exempel:</w:t>
        <w:br/>
        <w:br/>
        <w:t>En man har varit bosatt i kommun, tillhörande ortsgrupp III, under tiden den 1 januari—den 5 mars. Efter avflyttning från riket sistnämnda dag ingår han den 1 april äktenskap, vilket består under återstoden av året.</w:t>
        <w:br/>
        <w:br/>
        <w:t>får åtnjutas med 140 kronor. får åtnjutas med 140 kronor.</w:t>
      </w:r>
    </w:p>
    <w:p>
      <w:pPr>
        <w:pStyle w:val="Heading2"/>
      </w:pPr>
      <w:r>
        <w:t>2. Thore Alströmer (Lantmanna- och borgarepartiet inom andrakammaren, man)</w:t>
      </w:r>
    </w:p>
    <w:p>
      <w:r>
        <w:rPr>
          <w:b w:val="0"/>
        </w:rPr>
        <w:t xml:space="preserve">Herr talman! I en motion ifråga om ortsavdragen och familjeavdragen, som jag och en del av denna kammares ledamöter väckt, yrka vi, att grundavdragen för samtliga orter måtte fastslås till 300 kronor. Kungl. Maj:t har i stället föreslagit 340 kronor. De 40 kronor, som därigenom således skulle fråntagas den enskilda skattedragaren, skulle i stället, anse vi, givas åt </w:t>
      </w:r>
      <w:r>
        <w:rPr>
          <w:b/>
        </w:rPr>
        <w:t>hustrun²</w:t>
      </w:r>
      <w:r>
        <w:rPr>
          <w:b w:val="0"/>
        </w:rPr>
        <w:t>, och därigenom skulle således vid avdragens bestämmande den en-</w:t>
        <w:br/>
        <w:br/>
        <w:t>skilde skattedragaren få 40 kronor mindre i avdrag, medan däremot familjen få samma avdrag som Kungl. Maj:t föreslagit. Sistlidna års riksdag motionerade vi i samma syfte, ehuru motionen då hade ett annat utseende, beroende därpå, att vi försökte gå in för ett system, där bankningen skulle vara borta, alltså i överensstämmelse med Kungl. Maj:ts förslag från 1 fjol. Mot de i Kungl. Maj:ts proposition i år föreslagna avdragen har jag ingen erinran i övrigt att göra.</w:t>
        <w:br/>
        <w:br/>
        <w:t>Kungl. Maj:ts förslag tillgodoser enligt mitt förmenande i största möjliga grad spridningen mellan ortsgrupperna, en sak som man med rätta anmärkte icke var tillgodosedd i fjolårets förslag. Förhållandet mellan levnadskostnaderna och ortsavdragen blir genom Kungl. Maj:ts förslag i år oomtvistat så väl tillgodosett, som överhuvud taget är möjligt, vilket ju också torde framgå av de tabeller och uppställningar, som finnas fogade vid förslaget. Skall man ga in för ett system, där bankningen bibehålles — inom parentes sagt måste jag anse detta såsom icke lyckligt ur vare sig skattetekniska eller praktiska synpunkter, då det förlänger och försvårar taxeringsarbetet och gör det för den skattepliktige avgjort svårare att komma underfund med hur skatten är lagd och hur avdragen beräknas, än om bankningen vore borta — skall man gå in för ett sådant system, och detta tyckes ju nu vara både Kungl. Maj:ts och utskottets eniga uppfattning — fjolårets utskott frångick ju också Kungl. Maj:ts förslag i den punkten — tror jag för min del, att det skall bli svårt att finna ett förslag, som bättre tillgodoser de fordringar, som man kan ställa på jämnhet just i avseende på den omnämnda spridningen av ortsgrupperna, än vad Kungl. Maj:ts förslag nu gör. Att däremot gå in för den starka ökning av ortsavdragen, som utskottet vill föreslå, anser jag medföra ganska stora olägenheter. I varje fall är det icke nyttigt och icke nödvändigt att förrycka fördelningen av skattebördan, såsom därigenom kommer att ske.</w:t>
        <w:br/>
        <w:br/>
        <w:t>Även om resultatet av de gjorda provtaxeringarna icke med så stor säkerhet angiver, hur detta i verkligheten kommer att verka, har dock utskottets förslag kommit till på ett ganska lätt och oprövat sätt. Icke i någon motion, icke i något förslag finnes den sammanställning av siffrorna, som nu innehålles i utskottets förslag till ortsoch familjeavdrag, utan dessa siffror äro plockade litet här och där ur en motion här och ur ett förslag där. Den sammanställning, som där kommer till synes, är i sanning ingalunda av den art, att den varken ur skattesynpunkt eller ur beskattningssynpunkt kan vara lockande att gå in för.</w:t>
        <w:br/>
        <w:br/>
        <w:t>Än större blir risken att gå in på den väg, som utskottet slagit in på, när man ser på inkomstoch förmögenhetsbeskattningen, en fråga som står i intimt sammanhang med den paragraf, som nu är under behandling, och vet, hur avdragen där skulle komma att verka. Redan nu är enligt provisoriet den procent av den taxeringsbara inkomsten, som blir beskattningsbar, så ringa, att det snarare torde anses erforderligt att minska avdragen än öka dem, vilket också Kungl. Maj:t i sitt förslag har gått in för.</w:t>
        <w:br/>
        <w:br/>
        <w:t>Det måste väcka en viss förvåning, att regeringspartiets ledamöter i utskottet på denna synnerligen viktiga punkt frångått regeringens förslag. Ja, kanske icke så mycket förvåning som mera ett visst medlidande.</w:t>
        <w:br/>
        <w:br/>
        <w:t>I den reservation, som av herr Borell m. fl. avgivits, framhålles också, att det är obestridligt, att för närvarande den taxerade inkomsten alltför mycket decimeras genom gällande avdrag, vilka fastställdes vid en tidpunkt, då penningvärdet var väsentligt lägre än nu. Hänsynen till kommunernas skattebehov påkallar jämväl försiktighet vid de skattefria avdragens utmätande beträffande kommunalskatten. I den kungl. propositionen har en avvägning av familjeavdragen mellan de olika ortsgrupperna verkställts, i syfte att avdragen måtte bättre svara mot levnadskostnaderna. Därmed uppfylles ett viktigt och</w:t>
        <w:br/>
        <w:br/>
        <w:t>välbefogat krav, som icke i tillnärmelsevis samma grad tillgodoses enligt nu gällande avdragsbestämmelser och ej heller enligt de andra förslag till avdragssystem, vilka inom utskottet diskuterats.</w:t>
        <w:br/>
        <w:br/>
        <w:t>Då det förslag, som utskottet nu gått in för, dessutom saknar varje stöd i föregående erforderliga undersökningar eller föregående provtaxeringar och sådana endast gjorts 1 största hast för vissa kommuner under utskottsarbetet, provtaxeringar, som i sanning icke visa det verkliga förhållandet, men däremot visa en stor förskjutning och en ojämn fördelning av beskattningen, då däremot regeringsförslaget, som jag förut framhållit, har sin styrka, när det gäller en lämplig fördelning mellan levnadskostnaderna och ortsavdragen, skall jag, herr talman, avstå från att yrka bifall till den motion, som vi här ha väckt och i stället be att få yrka bifall till den av herr Borell m. fl. vid denna paragraf fogade reservationen, det vill med andra ord säga till Kungl. Maj:ts förslag 1 denna paragraf.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