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1794</w:t>
      </w:r>
    </w:p>
    <w:p>
      <w:r>
        <w:rPr>
          <w:b/>
        </w:rPr>
        <w:t xml:space="preserve">Datum: </w:t>
      </w:r>
      <w:r>
        <w:t>1928-05-23</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Olsson (–, man)</w:t>
      </w:r>
    </w:p>
    <w:p>
      <w:r>
        <w:rPr>
          <w:b w:val="0"/>
        </w:rPr>
        <w:t>Herr talman! Jag skall endast med ett par exempel visa verkningarna av reservanternas förslag i fråga om sänkningen av avdragen.</w:t>
        <w:br/>
        <w:br/>
        <w:t>Jag tar ortsgrupp I och en inkomst på 2,000 kronor, gift man med två barn. Han har enligt nu gällande lag ett avdrag av 1,200 kronor. När halveringen är gjord, får han en beskattningsbar inkomst på 800 kronor. Med en skatt av 10 kronor per bevillningskrona får han betala 80 kronor i skatt. Enligt reservanternas förslag skulle han få jämnt 1,050 kronor i avdrag, vilket skulle medföra, att han får betala skatt en halv bevillningskrona mera. Med en skattesats av 10 kronor per bevillningskrona skulle det bli 15 kronor mera i skatt. Jag undrar, om det är lämpligt att gå ner med avdragen så pass långt. Det kommer för dem, som tillhöra den lägsta ortsgruppen, att verka så, att den lägsta inkomsttagaren får betala en skatt för en med en till en och en</w:t>
        <w:br/>
        <w:br/>
        <w:t>halv bevillningskrona höjd inkomst. Jag vågar påstå, att vi knappast kunna taga ut mera i skatt av skogsarbetarna i Norrland och jordbruksarbetare i allmänhet, än vi nu göra.</w:t>
        <w:br/>
        <w:br/>
        <w:t xml:space="preserve">Jag finner därför, att det förslag, som utskottet kommit med, är rimligt. I stort sett blir utskottets förslag detsamma, som nu gäller. TI fråga om en familj, bestående av man och </w:t>
      </w:r>
      <w:r>
        <w:rPr>
          <w:b/>
        </w:rPr>
        <w:t>hustru²</w:t>
      </w:r>
      <w:r>
        <w:rPr>
          <w:b w:val="0"/>
        </w:rPr>
        <w:t>, i lägsta ortsgruppen blir det precis detsamma som nu. Det är endast för familjer med flera barn, som en ökning 1 avdraget inträder genom att det pålagts någon tia på familjeavdraget. Detta kan jag från mina utgångspunkter inte annat än finna rättvist och rimligt. För kommunernas vidkommande blir resultatet i stort sett detsamma, som för närvarande äger rum.</w:t>
      </w:r>
    </w:p>
    <w:p>
      <w:pPr>
        <w:pStyle w:val="Heading2"/>
      </w:pPr>
      <w:r>
        <w:t>2. Ivar Anderson (Lantmanna- och borgarepartiet inom andrakammaren, man)</w:t>
      </w:r>
    </w:p>
    <w:p>
      <w:r>
        <w:rPr>
          <w:b w:val="0"/>
        </w:rPr>
        <w:t>Herr talman! Jag undrar, om kammarens ledamöter observerade, att den siste ärade talaren riktade en mycket skarp kritik mot regeringens proposition. Det var inte mot reservanterna han riktade sig, utan det var mot sin egen regerings förslag, ty reservanterna ha ordagrant upptagit regeringens förslag i denna punkt. Herr Olsson i Ramsta förebrår sin regering för att vilja göra det fruktansvärda attentat mot stora delar av Sverige befolkning, som denna ändring i avdragssystemet enligt hans mening skulle innebära.</w:t>
        <w:br/>
        <w:br/>
        <w:t>Jag hemställer till kammarens ledamöter att avgöra, var och en efter eget bedömande, huruvida herr Olsson i Ramsta har grundad anledning till denna misstanke mot sin regering.</w:t>
        <w:br/>
        <w:br/>
        <w:t>Vad regeringen här föreslagit är en rationalisering av avdragssystemet. Detta är ett gammalt önskemål, som tidigare framförts i riksdagen. Det nuvarande avdragssystemet kom till 1920 på ganska lösa grunder. Det reviderades 1922 med någon hänsyn tagen till den förändring i penningvärdet, som till dess inträffat. Men sedan dess har återigen en ganska betydande förskjutning 1 penningvärdet ägt rum. Penningvärdet är i denna stund betydligt högre, än det var 1922. Det är väl då en mycket rimlig begäran, att en revidering skall ske även av avdragssystemet, så att avdragen anpassas efter levnadskostnaderna i de olika ortsgrupperna. Det är detta, som regeringen velat göra. Jag tycker, att det är litet hårt, att en regering, som lagt fram ett väl genomtänkt och på ordentlig utredning grundat förslag, skall från sitt eget partis främste talesman i utskottet få uppbära dessa hårda förebråelser.</w:t>
        <w:br/>
        <w:br/>
        <w:t>Jag anser mig stå på synnerligen god grund, herr talman, då jag i detta FL RS bifall till regeringens förslag, som är detsamma som reservanternas örslag.</w:t>
      </w:r>
    </w:p>
    <w:p>
      <w:pPr>
        <w:pStyle w:val="Heading2"/>
      </w:pPr>
      <w:r>
        <w:t>3. unknown (–, –)</w:t>
      </w:r>
    </w:p>
    <w:p>
      <w:r>
        <w:rPr>
          <w:b w:val="0"/>
        </w:rPr>
        <w:t>Herr talman! Jag har vid denna paragraf fogat en blank reservation. Jag är av samma mening som huvudreservanterna, att det icke är rådligt med hänsyn till kommunernas skatteunderlag att så väsentligt höja avdragen, som här skett. Förut har det varit lika stora avdrag inom alla ortsgrupper. Kungl. Maj:t har i sitt förslag jämkat på avdragen åt båda sidor, d. v. s. sänkt dem i första och andra ortsgrupperna men höjt dem i fjärde och femte ortsgrupperna</w:t>
        <w:br/>
        <w:br/>
        <w:t xml:space="preserve">Herr Olsson i Ramsta sade, att anledningen till att han gått med på utskottets förslag i denna del var den, att han ville hjälpa skogsarbetarna och lantarbetarna. Jag erkänner, att det hjälper dem något, när det gäller små familjer med ett och två barn. Men om herr Olsson i Ramsta verkligen intresserat sig för att hjälpa dessa små inkomsttagare, så borde han gått med på Kungl. Maj:ts förslag i fjol, vilket åsyftade fasta avdrag. Ty det går så för dessa små inkomsttagare med </w:t>
      </w:r>
      <w:r>
        <w:rPr>
          <w:b/>
        </w:rPr>
        <w:t>hustru²</w:t>
      </w:r>
      <w:r>
        <w:rPr>
          <w:b w:val="0"/>
        </w:rPr>
        <w:t xml:space="preserve"> och tre barn, att de icke kunna utnyttja bankningen och alltså icke få nytta av de förhöjda ortsavdragen, utan det blir</w:t>
        <w:br/>
        <w:br/>
        <w:t xml:space="preserve">endast de större inkomsttagarna, som få nytta därav. En familj om man, </w:t>
      </w:r>
      <w:r>
        <w:rPr>
          <w:b/>
        </w:rPr>
        <w:t>hustru²</w:t>
      </w:r>
      <w:r>
        <w:rPr>
          <w:b w:val="0"/>
        </w:rPr>
        <w:t xml:space="preserve"> och tre barn i andra ortsgruppen med en inkomst av 1,500 kronor får ett avdrag av 1,260 kronor, medan däremot en lika stor familj med en inkomst av 2,040 kronor får 1,530 kronor i avdrag. Enligt min uppfattning behöver den, som har en inkomst av 1,500 kronor, proportionsvis större avdrag än den, som har en inkomst på över 2,000 kronor. Med dessa högre avdrag hjälper man de högre inkomsttagarna. De kunna fullt utnyttja bankningssystemet. Men det kunna inte de små inkomsttagarna, och det blir sålunda ingen hjälp för dessa utan endast för de större inkomsttagarna.</w:t>
        <w:br/>
        <w:br/>
        <w:t>Jag anser mig för den skull, herr talman, kunna i denna punkt yrka bifall till reservanternas och Kungl. Maj:ts förslag.</w:t>
      </w:r>
    </w:p>
    <w:p>
      <w:pPr>
        <w:pStyle w:val="Heading2"/>
      </w:pPr>
      <w:r>
        <w:t>4. Gustaf Olsson (–, man)</w:t>
      </w:r>
    </w:p>
    <w:p>
      <w:r>
        <w:rPr>
          <w:b w:val="0"/>
        </w:rPr>
        <w:t>Herr talman! Jag förstod, att jag skulle få den repliken kastad mig i ansiktet från reservanternas håll, att jag angrep vår egen regering, då jag kritiserade och inte ville taga dess förslag beträffande ortsavdragen. Jag kan endast svara, att även den bästa regering kan på någon punkt taga fel, så att man inte kan följa den. Det har varit fallet även någon gång tidigare. Jag förstår dock regeringen synnerligen väl, ty det var redan under förra årets utskottsbehandling tal om att åstadkomma en spridning även beträffande familjeavdragen. Regeringen har tagit fasta på detta önskemål och framlagt förslag om en sådan spridning. Men denna har åstadkommits på ett sådant sätt, att den går ut över den lägsta ortsgruppen. I fjärde och andra ortsgrupperna blir det däremot enligt Kungl. Maj:ts förslag precis detsamma som hittills. Spridningen går alltså, som sagt, ut över den lägsta ortsgruppen.</w:t>
        <w:br/>
        <w:br/>
        <w:t xml:space="preserve">Med vad jag förut yttrat tror jag mig ha givit skäl för min ståndpunkt, att det faktiskt inte går att sänka familjeavdragen ned till 120 kronor. Vi komma då till en sådan beskattning av dessa små inkomsttagare, att vi inte kunna få ut skatten av dem, och denna kommer därför absolut säkert att helt enkelt övervältras på jordägarna. Resultatet blir också alldeles orimligt för alla småbrukare med hemmavarande söner och </w:t>
      </w:r>
      <w:r>
        <w:rPr>
          <w:b/>
        </w:rPr>
        <w:t>döttrar²</w:t>
      </w:r>
      <w:r>
        <w:rPr>
          <w:b w:val="0"/>
        </w:rPr>
        <w:t>, som också skola beskattas i viss mån.</w:t>
        <w:br/>
        <w:br/>
        <w:t>Herr Olsson i Hov var inte med i utskottet i fjol. Jag förstår därför, att han kan ha en viss förkärlek för de fasta avdragen. Hade han varit med i utskottet i fjol och hört de diskussioner, som då fördes i anledning av Kungl. Maj:ts förslag om fasta avdrag, så skulle nog även herr Olsson i Hov ha funnit, att bankningssystemet dock innehåller så stora fördelar, att systemet med fasta avdrag under inga förhållanden kan mäta sig med detsamma. Visserligen kan herr Olsson i Hov få fram fall i vissa inkomstlägen, då de fasta avdragen kunna vara gynnsammare. Men förhållandet är ju det med de fasta avdragen, att de bli så förfärligt ojämna. Det blir så kolossalt stora trappsteg. När deklaranten står inför situationen att komma upp i ett högre trappsteg, så gör han ofta förtvivlade ansträngningar för att få ned deklarationen en eller annan krona och därigenom komma i åtnjutande av det högre avdraget. Med bankningen följer också den fördelen, att vi dock kunna få ut något litet i skatt även av de små inkomsttagarna. Och var och en anser väl, att det kan vara angenämt att veta med sig, att han dock i någon ringa mån är med om att bidraga till täckande av kommunens allmänna utgiftsbehov.</w:t>
      </w:r>
    </w:p>
    <w:p>
      <w:pPr>
        <w:pStyle w:val="Heading2"/>
      </w:pPr>
      <w:r>
        <w:t>5. Per Edvin Sköld (Socialdemokraterna, man)</w:t>
      </w:r>
    </w:p>
    <w:p>
      <w:r>
        <w:rPr>
          <w:b w:val="0"/>
        </w:rPr>
        <w:t>Herr talman! Jag ber endast att få säga några ord med anledning av herr Olssons i Hov yttrande.</w:t>
        <w:br/>
        <w:br/>
        <w:t>Frågan om bankning eller icke bankning ha vi ingenting att göra med i detta sammanhang, ty såväl reservanternas förslag som utskottets förslag bygga ju på bankningen. Om bankningssystemet är riktigt eller oriktigt, kunna vi alltså nu lämna åsido. Den saken är lika i båda förslagen. För övrigt tror</w:t>
        <w:br/>
        <w:br/>
        <w:t>jag nog, att herr Olsson i Hov en liten smula missuppfattat verkningarna av utskottets förslag. Det är dock så, att här sker en sänkning av grundavdragen och en höjning av familjeavdragen. Resultatet blir ju egentligen bara, att ensamstående personer och små familjer få skärpt beskattning, under det att barnrika familjer få sänkt beskattning. Detta blir ju resultatet av utskottets förslag. Men det finns icke något skäl att antaga, att slutresultatet genomsnittligt blir annorlunda, än vad nu är fallet. |</w:t>
        <w:br/>
        <w:br/>
        <w:t>Jag tror därför inte, att det finns någon anledning att taga fasta på vad herr Olsson i Hov yttrade, utan jag tror, att utskottets förslag är väl grundat.</w:t>
      </w:r>
    </w:p>
    <w:p>
      <w:pPr>
        <w:pStyle w:val="Heading2"/>
      </w:pPr>
      <w:r>
        <w:t>6. unknown (–, –)</w:t>
      </w:r>
    </w:p>
    <w:p>
      <w:r>
        <w:rPr>
          <w:b w:val="0"/>
        </w:rPr>
        <w:t xml:space="preserve">Herr talman! Jag erkänner, att, när det är fråga om familjer om man och </w:t>
      </w:r>
      <w:r>
        <w:rPr>
          <w:b/>
        </w:rPr>
        <w:t>hustru²</w:t>
      </w:r>
      <w:r>
        <w:rPr>
          <w:b w:val="0"/>
        </w:rPr>
        <w:t xml:space="preserve">, avdragen bli lika stora som nu. Men så snart det finns barn i familjen, bli avdragen större. Jag anförde såsom ett exempel en familj om man, </w:t>
      </w:r>
      <w:r>
        <w:rPr>
          <w:b/>
        </w:rPr>
        <w:t>hustru²</w:t>
      </w:r>
      <w:r>
        <w:rPr>
          <w:b w:val="0"/>
        </w:rPr>
        <w:t xml:space="preserve"> och tre barn, för vilken avdraget blir större, när bankningen kan utnyttjas, medan det däremot icke blir nämnvärt större, om bankningen icke kan utnyttjas.</w:t>
        <w:br/>
        <w:br/>
        <w:t>Vad jag nämnde om bankningen var egentligen riktat mot herr Olsson i Ramsta, som talade om att han ville hjälpa de norrländska skogsarbetarna och jordbruksarbetarna med deras små inkomster. Med det av honom synnerligen omhuldade bankningssystemet når man inte detta resultat. Det var endast det jag ville framhålla.</w:t>
        <w:br/>
        <w:br/>
        <w:t>som stipendiefonder, Sveriges allmänna hypoteksbank, konungariket Sveriges stadshypotekskassa, allmänna hypotekskassan för Sveriges städer, hypoteksföreningar, Jernkontoret, så länge kontorets vinstmedel användas till allmänt nyttiga ändamål och kontoret icke lämnar utdelning åt sina delägare, pensionsanstalter som icke äro bolag, sjukkassor, understödsföreningar, sådana ömsesidiga försäkringsbolag för försäkring av egendom, å vilka lagen om försäkringsrörelse icke äger tillämpning eller vilkas verksamhetsområden falla utanför Stockholm och omfatta allenast visst län eller del av län, ävensom sådana ömsesidiga olycksfallsförsäkringsbolag, som avses i lagen om försäkring för olycksfall i arbete: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