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584</w:t>
      </w:r>
    </w:p>
    <w:p>
      <w:r>
        <w:rPr>
          <w:b/>
        </w:rPr>
        <w:t xml:space="preserve">Datum: </w:t>
      </w:r>
      <w:r>
        <w:t>1929-02-13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Olsson (Socialdemokraterna, man)</w:t>
      </w:r>
    </w:p>
    <w:p>
      <w:r>
        <w:rPr>
          <w:b w:val="0"/>
        </w:rPr>
        <w:t xml:space="preserve">Jag förstår icke riktigt herr Lindhagens indignation. Jag röstade för anslag till Svenska fredsoch skiljedomsföreningen, och jag hoppades, att den skulle få anslaget. Således har jag ej opponerat mig mvut den saken. Nu försöker jag beveka de högermän, som icke haft samma anmärkningar mot båda föreningarna, att hjälpa herr Lindhagen och mig och låta den även av herr Lindhagen uppskattade Internationella </w:t>
      </w:r>
      <w:r>
        <w:rPr>
          <w:b/>
        </w:rPr>
        <w:t>kvinnoföreningen¹</w:t>
      </w:r>
      <w:r>
        <w:rPr>
          <w:b w:val="0"/>
        </w:rPr>
        <w:t xml:space="preserve"> få anslaget. Det är ju det enda jag gjort. Jag förstår ej, varifrån herr Lind-</w:t>
        <w:br/>
        <w:br/>
        <w:t xml:space="preserve">hagen fått den egendomliga uppfattningen, att jag opponerat mig på något sätt i denna diskussion mot Svenska fredsoch skiljedomsföreningen. Har jag stött det förslaget och gjort vad jag kunnat för att hjälpa fram anslag till den föreningen, anser jag det vara i sin ordning, att jag söker göra vad jag kan för att hjälpa Internationella </w:t>
      </w:r>
      <w:r>
        <w:rPr>
          <w:b/>
        </w:rPr>
        <w:t>kvinnoförbundet¹</w:t>
      </w:r>
      <w:r>
        <w:rPr>
          <w:b w:val="0"/>
        </w:rPr>
        <w:t xml:space="preserve"> också till anslag. Skall jag verkligen fatta herr Lindhagens uttalande så, att eftersom den av honom specielit omhuldade Svenska fredsoch skiljedomsföreningen ej kan få anslag, så skall icke heller Internationella </w:t>
      </w:r>
      <w:r>
        <w:rPr>
          <w:b/>
        </w:rPr>
        <w:t>kvinnoföreningen¹</w:t>
      </w:r>
      <w:r>
        <w:rPr>
          <w:b w:val="0"/>
        </w:rPr>
        <w:t xml:space="preserve"> få det? Det tyckes mig vara ett egendomligt resonemang. Jag ansluter mig fortfarande till herr Nilssons i Malmö yrkande.</w:t>
      </w:r>
    </w:p>
    <w:p>
      <w:pPr>
        <w:pStyle w:val="Heading2"/>
      </w:pPr>
      <w:r>
        <w:t>2. Ivan Pauli (Socialdemokraterna, man)</w:t>
      </w:r>
    </w:p>
    <w:p>
      <w:r>
        <w:rPr>
          <w:b w:val="0"/>
        </w:rPr>
        <w:t xml:space="preserve">Med anledning av herr Widells förklaring, att det icke finnes den minsta anledning, som han kan fundera ut, varför staten skulle ge anslag till Internationella </w:t>
      </w:r>
      <w:r>
        <w:rPr>
          <w:b/>
        </w:rPr>
        <w:t>kvinnoförbundet¹</w:t>
      </w:r>
      <w:r>
        <w:rPr>
          <w:b w:val="0"/>
        </w:rPr>
        <w:t xml:space="preserve"> för fred och frihet, ber jag få erinra herr Widell om det säkerligen för honom välbekanta faktum, som också framhålles i den ena av motionerna, att denna förening vid upprepade tillfällen fått understöd av svenska regeringar, och att det alltså icke saknas precedensfall, om man nu skulle vilja ge ett stadigvarande anslag åt föreningen.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