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589</w:t>
      </w:r>
    </w:p>
    <w:p>
      <w:r>
        <w:rPr>
          <w:b/>
        </w:rPr>
        <w:t xml:space="preserve">Datum: </w:t>
      </w:r>
      <w:r>
        <w:t>1929-03-06</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Assar Åkerman (Socialdemokraterna, man)</w:t>
      </w:r>
    </w:p>
    <w:p>
      <w:r>
        <w:rPr>
          <w:b w:val="0"/>
        </w:rPr>
        <w:t>Herr talman! Jag ber att få yrka bifall till reservationen.</w:t>
        <w:br/>
        <w:br/>
        <w:t>Till en början skall jag förutskicka några upplysningar om den gällande rätten. Nu skola herrarna inte bli ledsna eller otåliga och tro, att jag ämnar hålla någon juridisk föreläsning. Vare det långt ifrån mig! Dylika föreläsningar bruka aldrig vara trevliga vare sig för dem som höra på eller för den som håller desamma, så det skall jag noga akta mig för. Jag har så mycket mindre anledning i detta fall att inlåta mig på något sådant, som jag är övertygad om att alla här ha rätt bra reda på de förhållanden, varom här är fråga. Det blir alltså för mig endast att litet uppfriska herrarnas minne, och det skall jag göra så kort som möjligt.</w:t>
        <w:br/>
        <w:br/>
        <w:t>Jag vill då erinra om att huvudregeln beträffande forum i brottmål är den, att brottmål rannsakas och avgöres av den domstol, inom vars domvärjo brottet är begånget. Skälen härtill äro ju uppenbara. I den ort, där brottet är begånget, finnas vanligtvis målsägarna och vittnena. Där har man kännedom om alla de lokala förhållanden, som kunna inverka på ärendet. Där har man också, åtminstone i de flesta fall, väl reda på den man, som har begått brottet.</w:t>
        <w:br/>
        <w:br/>
        <w:t>Såvida han icke tillhör den kringdrivande befolkningen. Det finnes många andra omständigheter, som tala för en sådan anordning. I äldre betraktelser över denna sak brukar man också framhålla lämpligheten av att statens reaktion mot ett brott inträder på samma ort, där brottet är begånget.</w:t>
        <w:br/>
        <w:br/>
        <w:t>Nu är emellertid ofta förhållandet, att en person begått brott inom flera domstolars domvärjo, och detta fall har ju särskilt tilldragit sig uppmärksamhet, när den tilltalade häktats. Ända till 1924 var det så, att huvudregeln gällde obeskuren, så att mannen rannsakades vid var och en av de underrätter, där han begått något brott, och slutligen utsattes straffet av den domstol, där han sist lagfördes. De andra domstolarna hade fullständig rannsakning med honom, och hela bevisfrågan klarlades, men något straff sattes inte ut där, utan han bara förklarades saker, som det heter, och sedan förvisades han till nästa domstol, inom vars domvärjo han begått brott. Dessa två termer komma nog ofta igen under diskussionen, och det kan därför vara skäl att ha dem i minnet. Att mannen förklarades saker, innebar, att bevisningen var fullständig och att han skulle dömas till straff; att han förvisades, innebar, att han skickades vidare till nästa domstol, till dess han slutligen kom till den sista. Där bestämdes straffet för alla förbrytelserna. Anledningen till denna anordning skall Jag inte trötta herrarna med att gå in på. Den sammanhänger med strafflagens bestämmelser om sammanläggande av straff o. s. v.</w:t>
        <w:br/>
        <w:br/>
        <w:t>Nu fann man, och det med rätta, att beträffande häktade detta arrangemang icke var bra. Det föranledde många och långa fångtransporter, och det föranledde också kostnader för urtima ting, därför att det ju finnes särskilda bestämmelser om att mål rörande häktade skola företagas mycket skyndsamt. Det medförde alltså kostnader för staten. Men det var naturligtvis även olämpligt ur många andra synpunkter. Det var ju nästan oundvikligt, att häktningstiden förlängdes genom dessa resor. Transporterna kunde också för somliga fångar medföra ett lidande, men man förbisåg å andra sidan icke, att de för gamla durkdrivna förbrytare voro ganska omtyckta rekreationsresor, under vilka de hade förhoppning om att kunna rymma. Resorna tedde sig alltså olika ur olika delinkventers synpunkt, men i varje fall var systemet icke bra, och det gjordes flera framställningar i riksdagen om att man skulle söka få det ändrat. Slutligen skrev riksdagen 1921 till Kungl. Maj:t och begärde en ändring i förfarandet med de häktade. Det var på dessa som hela tiden uppmärksamheten var riktad. Saken togs upp av regeringen 1923. remitterades ut till olika myndigheter, och om herrarna ha gjort sig besvär med att läsa de yttranden, som då avgåvos, ha ni funnit, att alla voro ense om att reformen skulle inskränkas till att gälla uteslutande de häktade. Jag vill erinra om att 1921 års lagutskott också riktade en ganska amper kritik mot varje tanke på att utsträcka reformen längre. Departementschefens uttalande till statsrådsprotokollet gick också tydligt i den riktningen, att detta var en tillfällig utväg ur ett läge, som icke är bra, och att man icke under bestående system borde tänka på att gå längre. Lagrådet sade ungefär detsamma. Alla voro således ense, och jag kan gärna nämna, att bland de herrar, vilka äro antecknade såsom närvarande i statsrådet 1923, när departementschefen sände ärendet på remiss till lagrådet, var också motionären. Den gången hade han, åtminstone såvitt jag vet, inga funderingar på att gå längre än till reformer beträffande de häktade. Sedan dess har det inte gått så rasande lång tid. Lagen kom ut 1924, och nu äro vi i början på 1929. Man nämnde också vid utredningen, att det inte fanns något behov att utsträcka reformen längre än till de häktade, och man tryckte från alla håll på detta.</w:t>
        <w:br/>
        <w:br/>
        <w:t>Under min långa domarverksamhet har jag aldrig mött något fall, där det framstått som en brist i lagstiftningen, att 1924 års lag icke kom att gälla även de på fri fot varande personerna. Aldrig har jag sett något sådant fall,</w:t>
        <w:br/>
        <w:br/>
        <w:t xml:space="preserve">men motionären har upplevat sådant. Under utskottsbehandlingen nämndes särskilt ett fall, som jag skall be att få tala om, ty det är ganska belysande. En </w:t>
      </w:r>
      <w:r>
        <w:rPr>
          <w:b/>
        </w:rPr>
        <w:t>flicka²</w:t>
      </w:r>
      <w:r>
        <w:rPr>
          <w:b w:val="0"/>
        </w:rPr>
        <w:t xml:space="preserve"> i göteborgstrakten, som var </w:t>
      </w:r>
      <w:r>
        <w:rPr>
          <w:b/>
        </w:rPr>
        <w:t>hembiträde³</w:t>
      </w:r>
      <w:r>
        <w:rPr>
          <w:b w:val="0"/>
        </w:rPr>
        <w:t xml:space="preserve"> i en familj, stal där en ganska betydande penningsumma från sitt husbondfolk. Det blev icke upptäckt, men jag antar, att marken brände under </w:t>
      </w:r>
      <w:r>
        <w:rPr>
          <w:b/>
        </w:rPr>
        <w:t>hennes²</w:t>
      </w:r>
      <w:r>
        <w:rPr>
          <w:b w:val="0"/>
        </w:rPr>
        <w:t xml:space="preserve"> fötter, och </w:t>
      </w:r>
      <w:r>
        <w:rPr>
          <w:b/>
        </w:rPr>
        <w:t>hon²</w:t>
      </w:r>
      <w:r>
        <w:rPr>
          <w:b w:val="0"/>
        </w:rPr>
        <w:t xml:space="preserve"> reste snart nog ned till Skåne. Där ville det sig inte bättre än att </w:t>
      </w:r>
      <w:r>
        <w:rPr>
          <w:b/>
        </w:rPr>
        <w:t>hon²</w:t>
      </w:r>
      <w:r>
        <w:rPr>
          <w:b w:val="0"/>
        </w:rPr>
        <w:t xml:space="preserve"> begick en ny stöld. Så började man rafistulera om det gamla, som hade hänt i Göteborg, och </w:t>
      </w:r>
      <w:r>
        <w:rPr>
          <w:b/>
        </w:rPr>
        <w:t>hon²</w:t>
      </w:r>
      <w:r>
        <w:rPr>
          <w:b w:val="0"/>
        </w:rPr>
        <w:t xml:space="preserve"> bekände, att </w:t>
      </w:r>
      <w:r>
        <w:rPr>
          <w:b/>
        </w:rPr>
        <w:t>hon²</w:t>
      </w:r>
      <w:r>
        <w:rPr>
          <w:b w:val="0"/>
        </w:rPr>
        <w:t xml:space="preserve"> även där hade begått en stöld. Nu hade </w:t>
      </w:r>
      <w:r>
        <w:rPr>
          <w:b/>
        </w:rPr>
        <w:t>hon²</w:t>
      </w:r>
      <w:r>
        <w:rPr>
          <w:b w:val="0"/>
        </w:rPr>
        <w:t xml:space="preserve"> den turen att träffa på en mycket snäll åklagare, som inte häktade </w:t>
      </w:r>
      <w:r>
        <w:rPr>
          <w:b/>
        </w:rPr>
        <w:t>henne²</w:t>
      </w:r>
      <w:r>
        <w:rPr>
          <w:b w:val="0"/>
        </w:rPr>
        <w:t xml:space="preserve">. Jag tror dock, att jag vågar säga, att det är ganska ovanligt, då en person har begått stöld på mer än ett ställe och beloppet är så pass stort som i detta fall, att icke häktning sker. Härmed vill jag inte på något sätt ha klandrat åklagaren, långt därifrån, ty mildhet är ju alltid berömvärd, och han hade kanske sina skäl, varför han inte företog häktning. Alltnog, </w:t>
      </w:r>
      <w:r>
        <w:rPr>
          <w:b/>
        </w:rPr>
        <w:t>flickan²</w:t>
      </w:r>
      <w:r>
        <w:rPr>
          <w:b w:val="0"/>
        </w:rPr>
        <w:t xml:space="preserve"> lämnades på fri fot. Nu tycker motionären, att det är förskräckligt, att enligt nu gällande rätt denna </w:t>
      </w:r>
      <w:r>
        <w:rPr>
          <w:b/>
        </w:rPr>
        <w:t>flicka²</w:t>
      </w:r>
      <w:r>
        <w:rPr>
          <w:b w:val="0"/>
        </w:rPr>
        <w:t xml:space="preserve">, eftersom </w:t>
      </w:r>
      <w:r>
        <w:rPr>
          <w:b/>
        </w:rPr>
        <w:t>hon²</w:t>
      </w:r>
      <w:r>
        <w:rPr>
          <w:b w:val="0"/>
        </w:rPr>
        <w:t xml:space="preserve"> inte är häktad, först skall rannsakas i Skåne — jag minns inte, om det var i Malmö stad eller på landet, men det spelar ingen roll — för det brott </w:t>
      </w:r>
      <w:r>
        <w:rPr>
          <w:b/>
        </w:rPr>
        <w:t>hon²</w:t>
      </w:r>
      <w:r>
        <w:rPr>
          <w:b w:val="0"/>
        </w:rPr>
        <w:t xml:space="preserve"> begått där och sedan göra den långa resan till Göteborg, vilket ju medför besvär och kostnader. Ja, för all del, det kan jag erkänna. Det är synd om alla som komma i klistret, men, märk väl, mina herrar, </w:t>
      </w:r>
      <w:r>
        <w:rPr>
          <w:b/>
        </w:rPr>
        <w:t>hon²</w:t>
      </w:r>
      <w:r>
        <w:rPr>
          <w:b w:val="0"/>
        </w:rPr>
        <w:t xml:space="preserve"> hade dock, efter vad jag har anledning att tro, rest till Malmö, därför att det var litet hett för </w:t>
      </w:r>
      <w:r>
        <w:rPr>
          <w:b/>
        </w:rPr>
        <w:t>henne²</w:t>
      </w:r>
      <w:r>
        <w:rPr>
          <w:b w:val="0"/>
        </w:rPr>
        <w:t xml:space="preserve"> i Göteborg. Och jag frågar vidare: kan det verkligen vara lämpligt, om man vill göra den reform, som här är föreslagen, att icke samtidigt göra även en annan reform, nämligen medgiva domstol att, om den så finner lämpligt, även i det fall den tilltalade begått allenast ett enda brott och detta utanför domstolens domvärjo, rannsaka om det? Låt oss i det av mig nyss relaterade göteborgsfallet tänka oss, att </w:t>
      </w:r>
      <w:r>
        <w:rPr>
          <w:b/>
        </w:rPr>
        <w:t>flickan²</w:t>
      </w:r>
      <w:r>
        <w:rPr>
          <w:b w:val="0"/>
        </w:rPr>
        <w:t xml:space="preserve"> icke hade stulit i Malmö, men att polisen i Malmö får tag i </w:t>
      </w:r>
      <w:r>
        <w:rPr>
          <w:b/>
        </w:rPr>
        <w:t>henne²</w:t>
      </w:r>
      <w:r>
        <w:rPr>
          <w:b w:val="0"/>
        </w:rPr>
        <w:t xml:space="preserve"> på grund av stölden i Göteborg. Med det uppslag, som motionären har kommit med, är det, såvitt jag förstår, för att undvika stötande konsekvenser absolut nödvändigt att sammankoppla även en annan reform, den nämligen, att domstolen i Skåne skulle ha rättighet att rannsaka angående stölden i Göteborg, ehuru intet annat brott än det i Göteborg blivit begånget. Annars måste ju en tilltalad, för att få den förmånen att slippa resa, ovillkorligen begå ett brott till. En karl t. ex., som 1 fyllan begått ett misshandelsbrott i Göteborg och sedan reser ned till Malmö, måste för att slippa resa tillbaka till Göteborg ovillkorligen supa sig full i Malmö och klå någon även där. Jag kan inte finna, att det är lämpligt. Man måste göra dessa reformer samtidigt, ty annars blir det stötande. Det har emellertid icke föreslagits av motionären, och redan på den grund finner jag det betänkligt att beträda den av honom föreslagna vägen.</w:t>
        <w:br/>
        <w:br/>
        <w:t>Vad nu angår det fall, som omtalats, har motionären för sig, att dylika förhållanden äro så vanliga, att man måste göra en lagändring. Det vågar jag bestrida. Som jag redan sagt, har något sådant aldrig förekommit i min praktik, och jag har verkligen inte träffat någon, som upplevat det, förrän jag nu i lagutskottet hörde talas om denna göteborgsflicka. Det förekommer en statistik i lagutskottets utlåtande, som herrarna nog ha sett. Den visar inte ett dugg. Intet visar den statistiken! Det kunna herrarna lätt se. Jag skall inte trötta med att närmare gå in på de siffror, som där finnas. TI utlåtandet heter det helt blygsamt, att den statistiken kan vara av intresse.</w:t>
        <w:br/>
        <w:br/>
        <w:t>Detta om behovet av lagstiftningen. Nu vill jag också säga, att enligt den svenska rätten har målsägaren en fullt självständig, av allmänna åklagaren oberoende åtalsrätt. Så länge detta förhållande äger bestånd, tror jag icke, att det låter sig göra att utsträcka 1924 års lagstiftning till icke häktade. Det skulle kräva en omläggning av reglerna för åtalsrätten och en omorganisation</w:t>
        <w:br/>
        <w:br/>
        <w:t>av åklagarväsendet, och den saken är långt ifrån så enkel, som det kan synas Ang. för en och annan. forum vissa</w:t>
        <w:br/>
        <w:br/>
        <w:t>Om herrarna läsa motionen, finna ni, att motionären börjat med att påyrka mål. omedelbar lagändring i enlighet med en lagtext, som han lade fram. Men det visade sig snart, att denna lagtext skulle leda in absurdum. Därför vill jag inte klandra honom. Det är inte så lätt att skriva en lagtext. Det går inte att snurra i väg på ett ögonblick med sådant, utan det får noga övervägas. Motionären insåg ju också snart själv, att han växlat in på galet spår. Vid utskottsbehandlingen jämkade han med sig mer och mer, så det vore orätt att klaga på bristande medgörlighet från motionärens sida. Men ej nog med att lagtexten blivit övergiven och yrkandet på omedelbar lagändring släppts, utan herrarna skola noga observera, att i motiveringen till det skrivelseförslag, varom hemställan göres, ägnas en besk kritik åt motionärens uppslag icke blott formellt utan även materiellt. Det visas där, att den väg för frågans lösning, som han tänker sig, är omöjlig. Den går inte. Alltså, ifrån omedelbar lagändring med lagtext till en hemställan om en skrivelse, vars motivering underkänner, både formellt och materiellt, det uppslag, som givits! Sicken en rutsch! Jag får säga, att jag kommer att tänka på sparkling hoch. Det smäller och fräser i början, men det ger sig snart, och den flaska, som nu står framför oss — den har all kolsyran gått av. Och den vilja ni likväl skicka till Kungl. Maj:t! Men jag vill inte vara med bland avsändarna.</w:t>
      </w:r>
    </w:p>
    <w:p>
      <w:pPr>
        <w:pStyle w:val="Heading2"/>
      </w:pPr>
      <w:r>
        <w:t>2. Allan Cederborg (Liberala riksdagspartiet, man)</w:t>
      </w:r>
    </w:p>
    <w:p>
      <w:r>
        <w:rPr>
          <w:b w:val="0"/>
        </w:rPr>
        <w:t>Då motionären på grund av opasslighet är hindrad att närvara här i dag, har jag lovat honom, att jag gent emot det befarade angreppet från vår ärade utskottsordförande skulle försöka att i någon mån föra talan. icke för motionärens förslag i dess ursprungliga skick, men för den hemställan. varom utskottets majoritet har enat sig. Och jag vill då säga. att även om, emot vad jag hoppas, kammaren skulle avslå den hemställan. som utskottet har kommit med, är denna hemställan icke så omotiverad, som herr ordföranden vill göra gällande. Den är tvärtom efter min mening ganska väl motiverad, och det finns nog åtskilligt av jäsningsämne kvar i den brygden. Den kommer med säkerhet igen ett annat år, om det inte går att få saken igenom i år.</w:t>
        <w:br/>
        <w:br/>
        <w:t>Herr Åkerman gjorde sig skyldig till ett misstag, då han sade, att man, när riksdagen vände sig till Kungl. Maj:t med begäran om den lagändring, som tillkom 1924, aldrig talade om andra än häktade. Nej, så var det inte. Den motionär, som lade upp frågan i riksdagen, fäste sig vid huruvida den tilltalade hade erkänt alla brott och vid vissa andra omständigheter, men det ingick icke bland förutsättningarna för den reform, som begärts, vare sig från motionärens eller från lagutskottets sida, att den skulle gälla endast brott av häktade. Talet om att inskränka reformen till brott av häktade kom upp i justitiedepartementet först i det utlåtande, som därifrån avgavs under år 1922, och sedan fick reformen 1924 en sådan begränsning.</w:t>
        <w:br/>
        <w:br/>
        <w:t>Vad som var det olyckliga med denna begränsning var egentligen, att den införde ett irrationellt moment i hela anordningen. Enligt de gamla forumreglerna skulle ett åtal för brott behandlas på olika sätt efter vissa regler, men reglerna hänförde sig alltid till någonting, som icke var underkastat godtycke eller skiftande omdömen, utan som var på förhand givet och klart. Det hänförde sig till brottens mer eller mindre ringa beskaffenhet, och jurister emellan kunde det aldrig råda tvekan om vad man menade, då man talade om svårare brott eller ringare brott. Bestämmelserna gåvo alltså ingen anledning till tveksamhet. En annan sak är det med bestämmelserna angående häktning. Som vi alla veta, föreskriva de, att när vissa brott begåtts, skall den tilltalade i häkte tagas. Men sedan finns det vissa andra brott, om vilka det heter, att han må i häkte tagas. Det beror då på en prövning, huruvida hans ställande på fri fot</w:t>
        <w:br/>
        <w:br/>
        <w:t>kan medföra fara för att han skall förstöra bevisning eller för att han skall avvika eller något dylikt. Det är med ett ord saker, som kunna bliva föremål för olika omdömen av olika myndigheter.</w:t>
        <w:br/>
        <w:br/>
        <w:t>Vad medför detta för konsekvenser? Jo, det medför den konsekvensen, att om t. ex. en åklagare i Stockholm tager en tjuvliga eller en tjuv, som begått ett antal tjuvnadsbrott på olika ställen i landet, kan det hända, att han lämnar honom på fri fot, medan samtidigt en tjuv, som begått ungefär liknande brott ute i Haga, häktas av vederbörande åklagare. Det blir med andra ord ingen reda i det, utan det blir helt och hållet beroende på de olika omdömena, huruvida en häktning bör äga rum eller icke. Detta var kanske mindre farligt, innan vi fingo till stånd den sista framställningen till myndigheterna i riket — en mycket befogad framställning för övrigt — att iakttaga så stor varsamhet som möjligt i fråga om häktning. Den har onekligen gjort verkan. Jag tror, att utskottets ordförande överdrev litet, då han sade, att statistiken i utskottets betänkande ingenting visar. Den visar dock en ganska stadig och jämn nedgång i antalet häktningar, sedan nämnda cirkulärskrivelse utgick till vederbörande myndigheter. Men därav följer återigen, att de fördelar, som 1924 års lag avsåg att medföra — koncentration i förfarandet och allt vad som därtill hör, undvikande av onödigt lidande, av tidsspillan och av onödiga kostnader — komma att vinnas i ringare omfattning än vad förut varit fallet.</w:t>
        <w:br/>
        <w:br/>
        <w:t>Nu säger herr Åkerman, att det inte är säkert, att man har så stora olägenheter av dessa transporter, när det gäller en icke häktad, och han åberopar sin egen erfarenhet i det hänseendet. Ja, jag kan gärna medgiva, att man inte hör så mycket talas om det. Men går man saken närmare in på livet och tänker sig in i, hur det går till, skall man finna, att det uppstår precis samma företeelser även i de fall, då en tilltalad lämnas på fri fot, såvida han nämligen har på olika ställen begått brott, och det är gunås något som ofta förekommer, att en på fri fot lämnad person har gjort. I sådant fall blir förfarandet, att det tages ut stämning till de olika underrätter, inom vilkas domvärjo han gjort sig skyldig till brott. Detta föranleder understundom, det veta vi alla, ganska otrevliga dröjsmål, därför att det kan vara tvekan om var brottet är begånget, en tvekan, som man i viss mån kommer ifrån genom den koncentration av förfarandet, som år 1924 beslöts. Då skall han inställa sig inför dessa underrätter. Man kan ju säga, att man behöver icke tycka synd om karlen, ty han har förbrutit sig och får väl försöka svara. Men han har1i de flesta fall mycket klen ekonomi och kommer därför icke första gången. Det kan mycket ofta inträffa. Han blir då dömd till böter, som han skall avtjäna, och det blir således en kostnad för det allmänna. Han blir kanske dömd till böter på nytt. Sedan inträffar förr eller senare, att rätten föreskriver hämtning under bevakning, och då blir det också en kostnad för det allmänna. Samtidigt är givetvis fallet, att det j fråga om tidsspillan för domstolen och med skriftväxling och dylikt för åklagaremyndigheterna blir precis samma olägenheter som de, vilka beträffande häktade föranledde reformen av år 1924. TLidandet för brottslingen själv blir också ungefär detsamma, åtminstone så snart det är fråga om att han skall avtjäna frihetsstraff, därför att han icke kan inställas på vederbörande ort annat än under allmän bevakning. Om det icke har så mycket kommit till synes, att olägenheterna i själva verket äro lika stora i det senare fallet som då det gäller häktade, skall detta enligt min mening endast kunna förklaras på ett sätt, och det är, att vederbörande myndigheter och kanske även målsägaren draga sig för det besvär, som denna procedur åsamkar, och låta bli att åtala. Alldeles säkert är, att före utfärdandet av 1924 års förordning hände det i många fall, att när en tilltalad, som häktats på en plats, befanns skyldig till mindre förseelser på andra ställen, blundade man, därför att man icke var angelägen om att få hela proceduren över sig med allt det besvär, som åtföljer ett slutdömande o. s. v.</w:t>
        <w:br/>
        <w:br/>
        <w:t>Jag misstänker, att beträffande sådan brottsling på fri fot så, när man finner att han blivit instämd på en ort, låter man hellre med saken på övriga orter anstå för att inte riskera en kedjerannsakning med allt dess besvär. Men huruvida en sådan anordning i längden är tillfredsställande för rättskänslan och för upprätthållandet av rättsordningen, vill jag lämna därhän.</w:t>
        <w:br/>
        <w:br/>
        <w:t>Nu har utskottet kommit till ett annat slut än motionen från början innehöll, och som herr Åkerman framhöll, har motionären mycket välvilligt gått med på den saken. Emellertid kan jag icke finna det omdöme befogat, som herr Åkerman fällde. att utskottet skulle i sin motivering hava underkänt allt vad motionären kommit med. Men vi hava sagt oss, att ingen människa är felfri, och att det kan hända även en president, att han icke alltid ögonblickligen hittar på det rätta ordet eller uppslaget. Han har funderat på att man skulle rätta det efter de brott, som höra under allmänt åtal. Det kan hända, att det kan vara skäl i att i stället göra frågan beroende på, huruvida allmänna åklagaren uppträder i målet. Även andra saker kunna tänkas, men framför allt den kombinationen. att man samtidigt behöver utreda en fråga, som ingalunda ör alldeles klar, nämligen om och i vad mån det numera finns större skäl än tidigare att medgiva vittnesförhör vid en annan domstol åtminstone i vissa grupper av brottmål. Det finns nämligen numera så pass goda tekniska hjälpmedel av olika slag som förr voro okända, att en dylik åtgärd icke torde behöva möta samma betänkligheter som tidigare.</w:t>
        <w:br/>
        <w:br/>
        <w:t>Det har sagts mig, att det skulle bland åtskilliga av kamraterna här i kammaren göra sig gällande ett tal emot bifall till utskottets hemställan, som går därpå ut, att, om man utsträckte detta koncentrerade förfarande även till mål, där de tilltalade äro på fri fot, skulle det medföra så stora olägenheter för de tilltalade, så till vida nämligen att de därigenom skulle i viss betydande mån avskäras från möjligheten att åberopa vittnen, vilken rättighet de skulle hava sig tillerkänd, när de fore ifrån domstol till domstol. Man har sagt, att i mål angående häktade blir det en helt annan sak, därför att där tillerkännas vittnena ersättning av allmänna medel. Detta resonemang måtte emellertid bero på ett missförstånd. Man får nämligen komma ihåg, att reglerna för ersättning till vittnen i brottmål äro desamma vare sig vederbörande är häktad eller inte. så snart en person står under allmänt åtal. Regeln är, att ersättning av allmänna medel kan tillerkännas ett vittne, som åklagare åberopar, eller, vilket mycket sällan händer, ett vittne, som rätten utan vidare inkallar. Men till de vittnen. som den tilltalade åberopar för sitt friande, får han själv betala ersättning, och detta gäller vare sig han är häktad eller ej.</w:t>
        <w:br/>
        <w:br/>
        <w:t>Skulle det nu på något sätt visa sig, att man hade anledning att befara så stora olägenheter av denna sak vid en eventuell koncentration av rannsakningsförfarandet, borde de olägenheterna snarare visa sig ännu betänkligare, då det gäller häktade eller sådana som riskera ett strängare straff. Då borde man emellertid föranledas till att börja fundera på om icke 1924 års reform borde ur den synpunkten tagas tillbaka, eller huruvida icke lagen om ersättning till vittnen i brottmål borde ändras. Det har emellertid icke försports, att under tiden från 1924 visats något exempel på att de tilltalade personer, som blivit underkastade ett sådant här koncentrerat förfarande. därigenom blivit avskurna från rimliga möjligheter att genom vittnen skydda sina intressen.</w:t>
        <w:br/>
        <w:br/>
        <w:t>Vad här gäller är enligt min mening endast att få bort det irrationella moment, som en på subjektivt omdöme beroende häktningsåtgärd varit. Man skulle förstå motståndet, om det gällde att gå på en direkt lagändring. Men vi hava ansett, att det finnes små möjligheter att under en skyndsam utskottsbehandling få utrett detta. Det rätta vore då få utreda frågan något bättre och,</w:t>
        <w:br/>
        <w:br/>
        <w:t>då den onekligen är av en viss och ingalunda så ringa betydelse, avlåta en skrivelse till Kungl. Maj:t.</w:t>
        <w:br/>
        <w:br/>
        <w:t>På grund av vad jag anfört ber jag, herr talman, att få yrka bifall till utskottets hemställan.</w:t>
      </w:r>
    </w:p>
    <w:p>
      <w:pPr>
        <w:pStyle w:val="Heading2"/>
      </w:pPr>
      <w:r>
        <w:t>3. Ivar Öhman (Första kammarens nationella parti, man)</w:t>
      </w:r>
    </w:p>
    <w:p>
      <w:r>
        <w:rPr>
          <w:b w:val="0"/>
        </w:rPr>
        <w:t>Såsom det förnämsta skälet för en utvidgning av 1924 års lag till att gälla också för tilltalade, som icke äro häktade, har i motionen påpekats, att efter tillkomsten av denna lag, som trädde i kraft den 1 september 1924, strävanden gjort sig gällande att undvika häktning, då sådan icke varit alldeles nödvändig. Ja, att vederbörande under de sista åren börjat visa en viss återhållsamhet i fråga om häktning är nog riktigt, och detta har enligt mitt förmenande sin egentliga grund i tillkomsten av en särskild författning, en kungl. kungörelse av den 23 oktober 1925, som i detta sammanhang också åberopas i utskottets utlåtande. Vad det cirkulär beträffar, som den siste ärade talaren omnämnde, har jag mig icke något vidare bekant om detsamma; i varje fall har det antagligen tillkommit efter det 1924 års lag utfärdades, vilket är huvudsaken för mig i detta sammanhang. Enligt kungörelsen av oktober 1925 har det ålagts åklagare eller polismyndighet, som beslutit om häktning, att insända vissa uppgifter till länsstyrelsen, bland annat en uppgift om skälet för häktningen. Denna författning har nu varit gällande allenast omkring 3 år, och statistik för bedömande av dess verkningar föreligger endast för två år. Men jag vill fråga: äro icke två år en väl knapp tid för att man skall kunna draga några säkra slutsatser härvidlag? Men alldeles bortsett från knappheten i den statistik som finnes, kan man säga, att det överhuvud taget icke föreligger någon utredning alls rörande behovet av den ifrågasatta lagändringen. Ty det är väl att märka, att den statistik, som lämnas av utskottet, icke ger någon som helst ledning för bedömandet av frågan, i vilken omfattning det inträffat en ökning av de fall, då på fri fot varande personer lagförts för brott, begångna inom skilda domkretsar, och det är på detta som det här kommer an. Efter att hava påpekat denna nedgång i häktningen säger utskottet: »Huruvida nedgången i häktningsfrekvensen jämväl avsett sådana personer, som begått brott inom flera underrätters domkretsar, låter sig naturligen icke med någon säkerhet bedöma, men det kan antagas, att så i viss mån är förhållandet.» Detta är reserverat och försiktigt sagt, men det är i alla fall detta obestämda uttalande, som utgjort det avgörande ÄV för utskottets förslag. Det framgår klart och tydligt av utskottets utåtande.</w:t>
        <w:br/>
        <w:br/>
        <w:t xml:space="preserve">För min del har jag den bestämda uppfattningen, att de fall, då på fri fot varande personer behöva förvisas från en domstol till en annan för fortsatt rannsakning, alltid varit sällsynta, ja, synnerligen sällsynta, och att så kommer att förbliva också i fortsättningen, även om den obetydliga nedgången i häktningsfrekvensen skulle bliva beståndande. Under min långa domarbana har jag endast haft att göra med ett enda sådant fall, och det var just det fall, för vilket utskottets ärade ordförande nyss redogjorde. Det var fråga om ett </w:t>
      </w:r>
      <w:r>
        <w:rPr>
          <w:b/>
        </w:rPr>
        <w:t>hembiträde³</w:t>
      </w:r>
      <w:r>
        <w:rPr>
          <w:b w:val="0"/>
        </w:rPr>
        <w:t xml:space="preserve">, som stulit ett större penning belopp från sin matmoder i göteborgstrakten och därefter begått tillgrepp i Svedala. </w:t>
      </w:r>
      <w:r>
        <w:rPr>
          <w:b/>
        </w:rPr>
        <w:t>Hon²</w:t>
      </w:r>
      <w:r>
        <w:rPr>
          <w:b w:val="0"/>
        </w:rPr>
        <w:t xml:space="preserve"> blev förvisad just från herr Schlyters dåvarande domsaga till min, där brotten avdömdes. I den förra domsagan rannsakades </w:t>
      </w:r>
      <w:r>
        <w:rPr>
          <w:b/>
        </w:rPr>
        <w:t>hon²</w:t>
      </w:r>
      <w:r>
        <w:rPr>
          <w:b w:val="0"/>
        </w:rPr>
        <w:t xml:space="preserve"> och förklarades saker för det brott, som </w:t>
      </w:r>
      <w:r>
        <w:rPr>
          <w:b/>
        </w:rPr>
        <w:t>hon²</w:t>
      </w:r>
      <w:r>
        <w:rPr>
          <w:b w:val="0"/>
        </w:rPr>
        <w:t xml:space="preserve"> begått där, och Oxie och Skytts domsaga bestämde sedan straff i ett sammanhang för det hela. Jag har frågat flera kolleger och fått till svar, att de icke kände till ett enda fall, då förvisning av på fri fot varande person förekommit. Liknande upplysningar meddelades i lagutskottet av tjänstemännen där, som för ändamålet hört sig för hos åklagarna i Stockholms rådhusrätt och i den stora Södra Roslags domsaga. Jag yttrade nyss, att säkerligen även i framtiden de fall komma att bli synnerligen sällsynta, då en person på fri</w:t>
        <w:br/>
        <w:br/>
        <w:t>fot bleve hänvisad från en domstol till en annan. Till belysning härav ber jag få påpeka följande.</w:t>
        <w:br/>
        <w:br/>
        <w:t>Om vi tänka oss, att en person begått brott i ett flertal skilda domkretsar. således brott i någon större skala, äro naturligtvis förhållandena i regel också sådana, att den personen blir häktad nu liksom förut, och sedan häktning ägt rum, reda vi oss med 1924 års lag. Då det gäller personer, som begått brott i större skala, kommer det således endast mycket sällan att uppstå sådana komplikationer, som den siste ärade talaren befarade. Man behöver överhuvud taget hava bra litet bekymmer för kedjerannsakningar, då det gäller på fri fot varande personer. Är det åter fråga om en person, som begått brott i liten skala. t. ex. endast i ett par domkretsar och kan utan att häktas bli fast för ett av dem och rannsakas därför, så kan det lätt hända, att en förvisning uteblir av den enkla anledningen, att man icke känner till det andra brottet. Detta hänger tillsammans med att när en person icke är häktad, är den förberedande polisundersökningen ofta mindre ingående och mera summarisk, än då det gäller en häktad. Man får icke reda på att han begått brott även på ett annat ställe. Den tilltalade tiger naturligtvis ofta härvidlag. Även om den ifrågasatta lagändringen komme till stånd, skulle den icke kunna komma till tilllämpning i sådana fall, som de nyss antydda.</w:t>
        <w:br/>
        <w:br/>
        <w:t>Jag vill med det sagda hava påpekat, att det icke föreligger något behov av den ifrågasatta lagändringen och att den, om den kommer till stånd, blir av synnerligen ringa praktisk betydelse.</w:t>
        <w:br/>
        <w:br/>
        <w:t>I utskottets utlåtande förekommer ett uttalande, som ger mig anledning att säga några ord. Utskottet säger så här, och den siste ärade talaren var inne på samma tankegång: »I själva verket torde det ur principiell synpunkt vara mindre riktigt att låta reglerna om forum i brottmål bero av att den tilltalade är i målet häktad.» Men lagändringen av år 1924 förestavades ju icke alls av några principiella skäl, utan uteslutande av lämplighetshänsyn. Man fann, att den dåvarande ordningen för rannsakningar med häktade, som begått brott i flera domkretsar, var behäftad med mycket svåra olägenheter. Man stötte sig på de omtalade långa och tidsödande fångtransporterna med därav föranledda kostnader för det allmänna, och man framhöll, att genom den långa häktningstiden den tilltalade ofta bereddes onödigt lidande. Man åberopade vidare, att för dessa rannsakningar behövdes extra sammanträden eller urtima ting, vilket också förorsakade statsverket kostnader. Jag vill påpeka, att de urtima tingen kräva en ej så liten apparat. De försiggå i regel på fängelserna. För ändamålet måste en nämnd av åtta personer dragas från sitt arbete, och till dem skall reseersättning utgå. Men beträffande icke häktade tilltalade föreligga, det vågar jag gentemot den siste talaren påstå, inga sådana olägenheter. Där förekomma inga urtima ting, utan den tilltalade rannsakas vid ett ordinarie ting. År 1924 höjdes icke en enda röst för att den då antagna lagen skulle utsträckas att gälla även icke häktade, och departementschefen sade bestämt ifrån. att det icke förelåg något behov av en sådan utsträckning. Men vad har nu sedan år 1924 inträffat, som kan påkalla en ändring i den då antagna lagen”? Jo, det har inträtt en viss relativt obetydlig nedgång i häktningsfrekvensen, beroende på en författning, som existerat endast i tre år och beträffande vilken statistik föreligger endast för två år. Men man vet ej med säkerhet om denna nedgång blir beståndande och man vet ej alls i vad mån den berör den kategori tilltalade, varom här är fråga. Jag vill då fråga: kan det vara rimligt, att man under sådana förhållanden ifrågasätter en ändring av en lag, som bestått endast i fyra år, och därtill en lag, som berör en av de viktigare punkterna på processväsendets område? För min del står det klart, att man bör söka undvika täta lagändringar, åtminstone när det gäller lagar på ifråga-</w:t>
        <w:br/>
        <w:br/>
        <w:t>varande område och detta i främsta rummet av det skälet, att det kan befaras, att en sådan oro i lagstiftningsarbetet kommer att lända till men för domstolarnas verksamhet, för rättsskipningen i landet.</w:t>
        <w:br/>
        <w:br/>
        <w:t>Jag ber sålunda, herr talman, att få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589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