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1822</w:t>
      </w:r>
    </w:p>
    <w:p>
      <w:r>
        <w:rPr>
          <w:b/>
        </w:rPr>
        <w:t xml:space="preserve">Datum: </w:t>
      </w:r>
      <w:r>
        <w:t>1929-04-27</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 xml:space="preserve">Herr talman! Det gäller här en </w:t>
      </w:r>
      <w:r>
        <w:rPr>
          <w:b/>
        </w:rPr>
        <w:t>kvinna¹</w:t>
      </w:r>
      <w:r>
        <w:rPr>
          <w:b w:val="0"/>
        </w:rPr>
        <w:t xml:space="preserve"> i Karlsborg, som tjänat staten med städarbete i över 45 år. </w:t>
      </w:r>
      <w:r>
        <w:rPr>
          <w:b/>
        </w:rPr>
        <w:t>Hon²</w:t>
      </w:r>
      <w:r>
        <w:rPr>
          <w:b w:val="0"/>
        </w:rPr>
        <w:t xml:space="preserve"> är nu 71 år gammal och har fått läkarbetyg på att </w:t>
      </w:r>
      <w:r>
        <w:rPr>
          <w:b/>
        </w:rPr>
        <w:t>hon²</w:t>
      </w:r>
      <w:r>
        <w:rPr>
          <w:b w:val="0"/>
        </w:rPr>
        <w:t xml:space="preserve"> icke längre kan upprätthålla befattningen och alltså måste på grund av sjukdom avgå från tjänsten.</w:t>
        <w:br/>
        <w:br/>
        <w:t xml:space="preserve">Jag har i motionen begärt 420 kronor, vilket också sammanfaller med yrkandet i den reservation, som är fogad till punkten. Detta kan enligt min mening icke anses vara för högt. Riksdagen går ju in för att bevilja </w:t>
      </w:r>
      <w:r>
        <w:rPr>
          <w:b/>
        </w:rPr>
        <w:t>änkepensioner²</w:t>
      </w:r>
      <w:r>
        <w:rPr>
          <w:b w:val="0"/>
        </w:rPr>
        <w:t xml:space="preserve"> på 384 kronor. Det är alltså till sådana personer, som icke ha gjort någonting i statens tjänst mer än att de varit gifta med en befattningshavare. Dessa få 384 kronor. Då borde ju beloppet 420 kronor icke vara för högt tilltaget för den, som gått och släpat och arbetat åt staten i över 45 år och är över 71 år gammal.</w:t>
        <w:br/>
        <w:br/>
        <w:t xml:space="preserve">Utskottet har här hängt upp sig på att </w:t>
      </w:r>
      <w:r>
        <w:rPr>
          <w:b/>
        </w:rPr>
        <w:t>fru²</w:t>
      </w:r>
      <w:r>
        <w:rPr>
          <w:b w:val="0"/>
        </w:rPr>
        <w:t xml:space="preserve"> Petterssons man har en pension ifrån staten. Han har nämligen tjänat statens järnvägar som extra ordinarie vagnoch stallkarl så länge, att han fått pension, och därför skulle det enligt utskottets mening vara rätt att utestänga denna </w:t>
      </w:r>
      <w:r>
        <w:rPr>
          <w:b/>
        </w:rPr>
        <w:t>kvinna¹</w:t>
      </w:r>
      <w:r>
        <w:rPr>
          <w:b w:val="0"/>
        </w:rPr>
        <w:t xml:space="preserve"> från pension, som själv är befattningshavare.</w:t>
        <w:br/>
        <w:br/>
        <w:t xml:space="preserve">Jag känner lokaliteterna därnere i Karlsborg, ty jag har själv legat där på överliggningsrum. </w:t>
      </w:r>
      <w:r>
        <w:rPr>
          <w:b/>
        </w:rPr>
        <w:t>Hon²</w:t>
      </w:r>
      <w:r>
        <w:rPr>
          <w:b w:val="0"/>
        </w:rPr>
        <w:t xml:space="preserve"> har skött sitt arbete väl. </w:t>
      </w:r>
      <w:r>
        <w:rPr>
          <w:b/>
        </w:rPr>
        <w:t>Hon²</w:t>
      </w:r>
      <w:r>
        <w:rPr>
          <w:b w:val="0"/>
        </w:rPr>
        <w:t xml:space="preserve"> har fått vara uppe mellan 6 och 7 varje morgon för att städa och göra 1 ordning efter den personal, som legat i överliggningsrummen på natten. Då har det omedel-</w:t>
        <w:br/>
        <w:br/>
        <w:t xml:space="preserve">bart därefter kommit andra i stället och så fram på dagen en ny uppsättning av personal på rummen, för att återigen få städa efter dessa; när kvällen kom, skulle det ånyo anlända en ny uppsättning personal, som kom för nattöverliggning. Så att arbetet har ju omfattat ganska många timmar per dag. Och om man jämför detta fall med fallet i punkt 2 i utskottets utlåtande nr 25, däri Kungl. Maj:ts förslag är bifallet, tror jag säkert det vore fullt riktigt att bevilja denna av mig begärda pension. Ty där går man in för ett belopp av 300 kronor till en </w:t>
      </w:r>
      <w:r>
        <w:rPr>
          <w:b/>
        </w:rPr>
        <w:t>städerska³</w:t>
      </w:r>
      <w:r>
        <w:rPr>
          <w:b w:val="0"/>
        </w:rPr>
        <w:t>, som haft tre timmars arbete per dag under 26 år. Och i förevarande fall blir timantalet avsevärt större, och det finns icke mindre än 45 tjänsteår. ÄAldern är ju lika hög 1 detta fall.</w:t>
        <w:br/>
        <w:br/>
        <w:t xml:space="preserve">Då anser jag, att man icke borde behandla folk så olika. Jag har här i reservationen pekat på, att utskottets förslag i realiteten innebär, att behörighetslagens princip upphäves, om man går in för det resonemanget, att, därför, att mannen har en pension från statens sida, </w:t>
      </w:r>
      <w:r>
        <w:rPr>
          <w:b/>
        </w:rPr>
        <w:t>hustrun²</w:t>
      </w:r>
      <w:r>
        <w:rPr>
          <w:b w:val="0"/>
        </w:rPr>
        <w:t xml:space="preserve"> icke skall för sitt arbete få någonting. Jag anser icke detta vara rättvist. En sådan princip tillämpar man icke för statens befattningshavare i övrigt. Dessa frågor böra vara skilda från varandra, och </w:t>
      </w:r>
      <w:r>
        <w:rPr>
          <w:b/>
        </w:rPr>
        <w:t>hon²</w:t>
      </w:r>
      <w:r>
        <w:rPr>
          <w:b w:val="0"/>
        </w:rPr>
        <w:t xml:space="preserve"> bör få pension såsom befattningshavare under lång tid i statens tjänst.</w:t>
        <w:br/>
        <w:br/>
        <w:t>Jag hemställer om bifall till den vid punkten fogade reservationen.</w:t>
      </w:r>
    </w:p>
    <w:p>
      <w:pPr>
        <w:pStyle w:val="Heading2"/>
      </w:pPr>
      <w:r>
        <w:t>2. Lars Borggren (Socialdemokraterna, man)</w:t>
      </w:r>
    </w:p>
    <w:p>
      <w:r>
        <w:rPr>
          <w:b w:val="0"/>
        </w:rPr>
        <w:t xml:space="preserve">Ja, herr talman, jag vill icke diskutera med herr Bäcklund om förhållandena vid Karlsborg. Dem känner jag icke till. Men då jag gått in för att taga ståndpunkt till den motion, som är väckt av herr Bäcklund, har jag ställt mig den frågan, om den anställning, som denna </w:t>
      </w:r>
      <w:r>
        <w:rPr>
          <w:b/>
        </w:rPr>
        <w:t>fru²</w:t>
      </w:r>
      <w:r>
        <w:rPr>
          <w:b w:val="0"/>
        </w:rPr>
        <w:t xml:space="preserve"> haft, varit tillfällig. Det visar sig då, att </w:t>
      </w:r>
      <w:r>
        <w:rPr>
          <w:b/>
        </w:rPr>
        <w:t>hon²</w:t>
      </w:r>
      <w:r>
        <w:rPr>
          <w:b w:val="0"/>
        </w:rPr>
        <w:t xml:space="preserve"> icke haft fullt att göra hela dagarna, utan att </w:t>
      </w:r>
      <w:r>
        <w:rPr>
          <w:b/>
        </w:rPr>
        <w:t>hon²</w:t>
      </w:r>
      <w:r>
        <w:rPr>
          <w:b w:val="0"/>
        </w:rPr>
        <w:t xml:space="preserve"> har haft ett tillfälligt arbete. Jag tror, att om vi gå in för denna motion och bifalla densamma, skall det snart komma många sådana här fall fram, där makan till en befattningshavare kan åberopa sig på, att </w:t>
      </w:r>
      <w:r>
        <w:rPr>
          <w:b/>
        </w:rPr>
        <w:t>hon²</w:t>
      </w:r>
      <w:r>
        <w:rPr>
          <w:b w:val="0"/>
        </w:rPr>
        <w:t xml:space="preserve"> i ett eller annat avseende har gjort staten någon tjänst. Jag har betraktat saken ungefär på det sätt, som förhållandena äro nere på västkusten, där jag någorlunda känner till dem. Det finnes där en hel del fruar till banvakter, som sköta grindar vid vägövergångar och för detta ha en viss ersättning om året. Skulle det nu vara så, kanske även på andra områden, att dessa personer, för att göra detta tillfälliga arbete, som bereder dem en välbehövlig inkomst, en gång i tiden skulle kunna åberopa sig på detta för att erhålla pension på grund av den långa tid, de varit anställda i statens tjänst.</w:t>
        <w:br/>
        <w:br/>
        <w:t>Jag betraktar detta arbete som tillfälligt, och jag anser, att många velat ha det, om de kunnat utföra det utan att tillbakasätta sina hem.</w:t>
        <w:br/>
        <w:br/>
        <w:t xml:space="preserve">Nu har mannen till denna </w:t>
      </w:r>
      <w:r>
        <w:rPr>
          <w:b/>
        </w:rPr>
        <w:t>fru²</w:t>
      </w:r>
      <w:r>
        <w:rPr>
          <w:b w:val="0"/>
        </w:rPr>
        <w:t xml:space="preserve"> en pension, på grund av den tjänst han innehaft vid statens järnvägar, på 1,800 kronor. Jag undrar, om man kan säga, att här egentligen föreligger någon nöd, så att man därför skulle bevilja dessa belopp, som herr Bäcklund motionerat om. Jag tror icke det förhåller sig på det sättet. Även anser jag från mina utgångspunkter, att om mannen skulle avlida och </w:t>
      </w:r>
      <w:r>
        <w:rPr>
          <w:b/>
        </w:rPr>
        <w:t>änkan²</w:t>
      </w:r>
      <w:r>
        <w:rPr>
          <w:b w:val="0"/>
        </w:rPr>
        <w:t xml:space="preserve"> skulle leva efter, är </w:t>
      </w:r>
      <w:r>
        <w:rPr>
          <w:b/>
        </w:rPr>
        <w:t>hon²</w:t>
      </w:r>
      <w:r>
        <w:rPr>
          <w:b w:val="0"/>
        </w:rPr>
        <w:t xml:space="preserve"> naturligtvis fullkomligt berättigad att gå in till riksdagen i likhet med andra änkor efter befattningshavare i statens tjänst och anhålla om understöd på ålderns dagar. Men om riksdagen skulle bifalla denna motion av herr Bäcklund, då undrar jag egentligen huru det skulle gå för denna </w:t>
      </w:r>
      <w:r>
        <w:rPr>
          <w:b/>
        </w:rPr>
        <w:t>änka²</w:t>
      </w:r>
      <w:r>
        <w:rPr>
          <w:b w:val="0"/>
        </w:rPr>
        <w:t xml:space="preserve">, om det ginge så som jag här talat om. Då skulle man alldeles utestänga </w:t>
      </w:r>
      <w:r>
        <w:rPr>
          <w:b/>
        </w:rPr>
        <w:t>henne²</w:t>
      </w:r>
      <w:r>
        <w:rPr>
          <w:b w:val="0"/>
        </w:rPr>
        <w:t xml:space="preserve"> från att få någonting. Så åberopade herr Bäcklund behörighetslagen, och att man egentligen skulle lägga den till grund för</w:t>
        <w:br/>
        <w:br/>
        <w:t xml:space="preserve">att bevilja detta belopp. Jag tror icke man kan åberopa sig på denna lag heller. Och jag anser, att om </w:t>
      </w:r>
      <w:r>
        <w:rPr>
          <w:b/>
        </w:rPr>
        <w:t>hon²</w:t>
      </w:r>
      <w:r>
        <w:rPr>
          <w:b w:val="0"/>
        </w:rPr>
        <w:t xml:space="preserve"> utfört det arbete, som man från järnvägsstyrelsens sida vill åsidosätta, borde man kanske rent av bevilja </w:t>
      </w:r>
      <w:r>
        <w:rPr>
          <w:b/>
        </w:rPr>
        <w:t>henne²</w:t>
      </w:r>
      <w:r>
        <w:rPr>
          <w:b w:val="0"/>
        </w:rPr>
        <w:t xml:space="preserve"> en gratifikation på grund av den långa tjänstetid </w:t>
      </w:r>
      <w:r>
        <w:rPr>
          <w:b/>
        </w:rPr>
        <w:t>hon²</w:t>
      </w:r>
      <w:r>
        <w:rPr>
          <w:b w:val="0"/>
        </w:rPr>
        <w:t xml:space="preserve"> haft. Och hade saken kommit fram i den formen, hade jag kunnat vara med om att bevilja en gratifikation.</w:t>
        <w:br/>
        <w:br/>
        <w:t>Utskottet har emellertid prövat denna motion såväl som andra, och vi ha efter ingående överläggningar stannat för att yrka avslag på motionen i fråga. Och jag tror också kammarens ledamöter verkligen kunna förstå, att utskottet i detta fall har rätt. Ty jag tyckte, att då herr Bäcklund skulle försvara sin motion, var det icke på något vidare kraftigt sätt.</w:t>
        <w:br/>
        <w:br/>
        <w:t>Jag ber att få yrka bifall till utskottets hemställan.</w:t>
      </w:r>
    </w:p>
    <w:p>
      <w:pPr>
        <w:pStyle w:val="Heading2"/>
      </w:pPr>
      <w:r>
        <w:t>3. Helge Bäcklund (Socialdemokraterna, man)</w:t>
      </w:r>
    </w:p>
    <w:p>
      <w:r>
        <w:rPr>
          <w:b w:val="0"/>
        </w:rPr>
        <w:t xml:space="preserve">Jag ber att få säga till herr Borggren att jag försvarar motionen med både känsla och övertygelse. Jag har icke den uppfattningen, som herr Borggren i allmänhet har, att man skall gå emot fattigt folk, när det har berättigade anspråk att framställa. Varför skall man icke bevilja denna </w:t>
      </w:r>
      <w:r>
        <w:rPr>
          <w:b/>
        </w:rPr>
        <w:t>kvinna¹</w:t>
      </w:r>
      <w:r>
        <w:rPr>
          <w:b w:val="0"/>
        </w:rPr>
        <w:t xml:space="preserve"> en pension i </w:t>
      </w:r>
      <w:r>
        <w:rPr>
          <w:b/>
        </w:rPr>
        <w:t>hennes²</w:t>
      </w:r>
      <w:r>
        <w:rPr>
          <w:b w:val="0"/>
        </w:rPr>
        <w:t xml:space="preserve"> egenskap av befattningshavare?</w:t>
        <w:br/>
        <w:br/>
        <w:t xml:space="preserve">Herr Borggren säger, att man skall vänta med pensionering, till </w:t>
      </w:r>
      <w:r>
        <w:rPr>
          <w:b/>
        </w:rPr>
        <w:t>hon²</w:t>
      </w:r>
      <w:r>
        <w:rPr>
          <w:b w:val="0"/>
        </w:rPr>
        <w:t xml:space="preserve"> blir </w:t>
      </w:r>
      <w:r>
        <w:rPr>
          <w:b/>
        </w:rPr>
        <w:t>änka²</w:t>
      </w:r>
      <w:r>
        <w:rPr>
          <w:b w:val="0"/>
        </w:rPr>
        <w:t xml:space="preserve">. Hade så varit fallet hade </w:t>
      </w:r>
      <w:r>
        <w:rPr>
          <w:b/>
        </w:rPr>
        <w:t>hon²</w:t>
      </w:r>
      <w:r>
        <w:rPr>
          <w:b w:val="0"/>
        </w:rPr>
        <w:t xml:space="preserve"> ju fått </w:t>
      </w:r>
      <w:r>
        <w:rPr>
          <w:b/>
        </w:rPr>
        <w:t>änkepension²</w:t>
      </w:r>
      <w:r>
        <w:rPr>
          <w:b w:val="0"/>
        </w:rPr>
        <w:t xml:space="preserve"> på grund av mannens tjänstetid i statens tjänst, om vi betrakta det som utskottet gör. Då hade </w:t>
      </w:r>
      <w:r>
        <w:rPr>
          <w:b/>
        </w:rPr>
        <w:t>hon²</w:t>
      </w:r>
      <w:r>
        <w:rPr>
          <w:b w:val="0"/>
        </w:rPr>
        <w:t xml:space="preserve"> fått pension utan att vara befattningshavare i statens tjänst. Nu är det fråga om en tjänstepension för </w:t>
      </w:r>
      <w:r>
        <w:rPr>
          <w:b/>
        </w:rPr>
        <w:t>henne²</w:t>
      </w:r>
      <w:r>
        <w:rPr>
          <w:b w:val="0"/>
        </w:rPr>
        <w:t xml:space="preserve">, därför att </w:t>
      </w:r>
      <w:r>
        <w:rPr>
          <w:b/>
        </w:rPr>
        <w:t>hon²</w:t>
      </w:r>
      <w:r>
        <w:rPr>
          <w:b w:val="0"/>
        </w:rPr>
        <w:t xml:space="preserve"> tjänat staten i över 45 år, är över 71 år gammal, är sjuk och behöver gå ifrån tjänsten. Jag tycker det vore värdigt riksdagen att gå in för att ge en sådan statens trotjänarinna en mindre pension. Det är ju icke riktigt att lägga till grund, att mannen har pension med dyrtidstillägg, som herr Borggren sade. Icke skall väl därför </w:t>
      </w:r>
      <w:r>
        <w:rPr>
          <w:b/>
        </w:rPr>
        <w:t>hustrun²</w:t>
      </w:r>
      <w:r>
        <w:rPr>
          <w:b w:val="0"/>
        </w:rPr>
        <w:t>, som också tjänat staten, bliva utan. Jag förstår icke det resonnemanget, utan var och en bör väl ha pension efter den tjänst och det arbete som utförts för staten, och det bör icke läggas till grund vad den andre maken har. Detta är absolut stridande mot behörighetslagens principer.</w:t>
        <w:br/>
        <w:br/>
        <w:t xml:space="preserve">Sedan säger herr Borggren här, att det finnes en massa </w:t>
      </w:r>
      <w:r>
        <w:rPr>
          <w:b/>
        </w:rPr>
        <w:t>banvaktshustrur²</w:t>
      </w:r>
      <w:r>
        <w:rPr>
          <w:b w:val="0"/>
        </w:rPr>
        <w:t xml:space="preserve">, som sköta grindar o. s. v. Jag har talat med herr Borggren om den saken inom utskottet, men han har icke velat fatta densamma. Det finnes verkligen </w:t>
      </w:r>
      <w:r>
        <w:rPr>
          <w:b/>
        </w:rPr>
        <w:t>banvaktshustrur²</w:t>
      </w:r>
      <w:r>
        <w:rPr>
          <w:b w:val="0"/>
        </w:rPr>
        <w:t>, som skött grindar, men detta är snart slut. Det finnes snart inga kvar, som sköta grindarna, sedan man i stället fått ljussignaler, ringklockor och dylikt, som gjort grindvakterskorna obehövliga. Men när man måste söka efter skäl, så drager man det där skälet, trots att man förut fått ordentligt besked på denna punkt. Och jag torde ju icke kunna frånkännas vissa möjligheter att ha reda på den saken.</w:t>
        <w:br/>
        <w:br/>
        <w:t>Jag vidhåller, herr talman, mitt yrkande.</w:t>
      </w:r>
    </w:p>
    <w:p>
      <w:pPr>
        <w:pStyle w:val="Heading2"/>
      </w:pPr>
      <w:r>
        <w:t>4. Lars Borggren (Socialdemokraterna, man)</w:t>
      </w:r>
    </w:p>
    <w:p>
      <w:r>
        <w:rPr>
          <w:b w:val="0"/>
        </w:rPr>
        <w:t>Herr talman! Jag förstår mycket väl att vi icke kunna övertyga varandra. Denna plats är en sådan, som i många andra fall förekommer vid statens verk och inrättningar. Det behöves i vissa fall, att någon ger en liten handräckning dagligen som tager ett par tre timmar i anspråk. Då finnes det en tjänsteman, som innehar en plats, och då säger han, att han vill åtaga sig arbetet, eller han blir helt enkelt anmodad av överordnade att åtaga sig detsamma. Man säger: kan ni åtaga er att sköta denna sak och göra detta arbete utom edra arbetstimmar, så får ni en ersättning så och så stor. Och jag tror, att det alltid är så, att det finnes ofantligt många, som nappa på den saken. De anse, att de mycket väl kunna göra denna handräckning och få en extra inkomst.</w:t>
        <w:br/>
        <w:br/>
        <w:t xml:space="preserve">Föreligger då frågan på det sättet, som herr Bäcklund nu framställer densamma, att </w:t>
      </w:r>
      <w:r>
        <w:rPr>
          <w:b/>
        </w:rPr>
        <w:t>hon²</w:t>
      </w:r>
      <w:r>
        <w:rPr>
          <w:b w:val="0"/>
        </w:rPr>
        <w:t xml:space="preserve"> skulle varit anställd i statens tjänst och därför bör erhålla pension, när </w:t>
      </w:r>
      <w:r>
        <w:rPr>
          <w:b/>
        </w:rPr>
        <w:t>hon²</w:t>
      </w:r>
      <w:r>
        <w:rPr>
          <w:b w:val="0"/>
        </w:rPr>
        <w:t xml:space="preserve"> lämnar sin anställning? Nej, så ligger väl icke frågan till. Och så säger herr Bäcklund, att det förhållandet, att man har en hel del personer, som göra sådant arbete av tillfällig art, det förhållandet kommer att upphöra, enär man anskaffar andra anordningar på detta område. Det tror jag också, det kan nog hända. Men om wi bifalla denna motion, herr Bäcklund, ha väl dessa personer samma rätt att komma fram till riksdagen och säga, att vi ha varit tillfälligt anställda i statens tjänst, och därför anhålla vi att av riksdagen erhålla ett pensionsbelopp.</w:t>
        <w:br/>
        <w:br/>
        <w:t>Jag tror det beror på från vilka utgångspunkter man betraktar den saken, och jag tror de rättvisa utgångspunkterna ligga just i den ståndpunkt jag framfört i kammaren, och det är därför jag vidhåller mitt yrkande.</w:t>
      </w:r>
    </w:p>
    <w:p>
      <w:pPr>
        <w:pStyle w:val="Heading2"/>
      </w:pPr>
      <w:r>
        <w:t>5. Anders Paulsen (Socialdemokraterna, man)</w:t>
      </w:r>
    </w:p>
    <w:p>
      <w:r>
        <w:rPr>
          <w:b w:val="0"/>
        </w:rPr>
        <w:t xml:space="preserve">Herr talman! Herr Bäcklund kan i viss mån ha rätt i att när en person har tjänat i 45 år, bör pension utgå, men tjänsten har tydligen i detta fall varit av mycket lindrig beskaffenhet. </w:t>
      </w:r>
      <w:r>
        <w:rPr>
          <w:b/>
        </w:rPr>
        <w:t>Hon²</w:t>
      </w:r>
      <w:r>
        <w:rPr>
          <w:b w:val="0"/>
        </w:rPr>
        <w:t xml:space="preserve"> har under de senaste tio åren haft en årsinkomst av endast 480 kronor i medeltal. Nu föreslår herr Bäcklund, att </w:t>
      </w:r>
      <w:r>
        <w:rPr>
          <w:b/>
        </w:rPr>
        <w:t>hon²</w:t>
      </w:r>
      <w:r>
        <w:rPr>
          <w:b w:val="0"/>
        </w:rPr>
        <w:t xml:space="preserve"> skulle få en pension av 420 kronor om året. Jag tycker icke det går riktigt bra i lås. Hade det förelegat ömmande omständigheter, är det klart, att vi borde beviljat </w:t>
      </w:r>
      <w:r>
        <w:rPr>
          <w:b/>
        </w:rPr>
        <w:t>henne²</w:t>
      </w:r>
      <w:r>
        <w:rPr>
          <w:b w:val="0"/>
        </w:rPr>
        <w:t xml:space="preserve"> den pension, som herr Bäcklund föreslagit, oberoende av hur stor </w:t>
      </w:r>
      <w:r>
        <w:rPr>
          <w:b/>
        </w:rPr>
        <w:t>hennes²</w:t>
      </w:r>
      <w:r>
        <w:rPr>
          <w:b w:val="0"/>
        </w:rPr>
        <w:t xml:space="preserve"> årsinkomst varit. Men här föreligga inga ömmande omständigheter. Mannen har pension av litet över 1,800 kronor, och det räcker nog till dessa båda gamla personer.</w:t>
        <w:br/>
        <w:br/>
        <w:t>Det finns icke tillräckliga skäl att bifalla herr Bäcklunds motion, och jag yrkar därför bifall till utskottets hemställan.</w:t>
      </w:r>
    </w:p>
    <w:p>
      <w:pPr>
        <w:pStyle w:val="Heading2"/>
      </w:pPr>
      <w:r>
        <w:t>6. Agda Östlund (Socialdemokraterna, woman)</w:t>
      </w:r>
    </w:p>
    <w:p>
      <w:r>
        <w:rPr>
          <w:b w:val="0"/>
        </w:rPr>
        <w:t xml:space="preserve">Herr talman! Jag kan icke underlåta att säga ett par ord i denna fråga. Jag har själv, som kammarens ledamöter kanske erinra sig, försökt att kämpa för att städerskor, som utfört arbete åt staten, skola få någon rätt till pension. Herr Borggren uttalade å utskottets vägnar, att den person, det här var fråga om, skulle ju, om </w:t>
      </w:r>
      <w:r>
        <w:rPr>
          <w:b/>
        </w:rPr>
        <w:t>hon²</w:t>
      </w:r>
      <w:r>
        <w:rPr>
          <w:b w:val="0"/>
        </w:rPr>
        <w:t xml:space="preserve"> bleve </w:t>
      </w:r>
      <w:r>
        <w:rPr>
          <w:b/>
        </w:rPr>
        <w:t>änka²</w:t>
      </w:r>
      <w:r>
        <w:rPr>
          <w:b w:val="0"/>
        </w:rPr>
        <w:t xml:space="preserve">, få pension i egenskap av </w:t>
      </w:r>
      <w:r>
        <w:rPr>
          <w:b/>
        </w:rPr>
        <w:t>änka²</w:t>
      </w:r>
      <w:r>
        <w:rPr>
          <w:b w:val="0"/>
        </w:rPr>
        <w:t xml:space="preserve"> efter en befattningshavare i statens tjänst. Det är egendomligt, att utskottet tycks anse, att </w:t>
      </w:r>
      <w:r>
        <w:rPr>
          <w:b/>
        </w:rPr>
        <w:t>hon²</w:t>
      </w:r>
      <w:r>
        <w:rPr>
          <w:b w:val="0"/>
        </w:rPr>
        <w:t xml:space="preserve"> skulle vara mera berättigad till pension som </w:t>
      </w:r>
      <w:r>
        <w:rPr>
          <w:b/>
        </w:rPr>
        <w:t>änka²</w:t>
      </w:r>
      <w:r>
        <w:rPr>
          <w:b w:val="0"/>
        </w:rPr>
        <w:t xml:space="preserve"> efter en befattningshavare än såsom själv varande befattningshavare i statens tjänst. Den synpunkt, som herr Borggren gjorde sig till tolk för, har alltid förts fram, när det gällt dessa städerskors eventuella rätt till pension: det har bara varit ett tillfälligt arbete. Ett tillfälligt arbete! Ja, det har det naturligtvis varit, med hänsyn till arbetstiden pr dag, eftersom denna </w:t>
      </w:r>
      <w:r>
        <w:rPr>
          <w:b/>
        </w:rPr>
        <w:t>hustru²</w:t>
      </w:r>
      <w:r>
        <w:rPr>
          <w:b w:val="0"/>
        </w:rPr>
        <w:t xml:space="preserve">, enligt vad det uppges i utskottets utlåtande samtidigt haft 13 barn att vårda och uppfostra. Jag tror vilken människa som helst, som vet vad det vill säga att vara fattig, begriper, att en familj med så många barn att försörja och ganska små inkomster, t. o. m. kan behöva en biförtjänst. Jag tycker, att en person, som utfört ett sådant arbete — om arbetet utförts väl och plikttroget under 45 år — bör, även om arbetstiden icke varit så lång varje dag, vara lika mycket berättigad till pension som en </w:t>
      </w:r>
      <w:r>
        <w:rPr>
          <w:b/>
        </w:rPr>
        <w:t>änka²</w:t>
      </w:r>
      <w:r>
        <w:rPr>
          <w:b w:val="0"/>
        </w:rPr>
        <w:t xml:space="preserve"> efter en befattningshavare i statens tjänst.</w:t>
        <w:br/>
        <w:br/>
        <w:t>Det är denna princip jag velat hävda i detta fall, och jag kan icke annat än hålla med herr Bäcklund, då han säger, att skulle man gå med på utskottets tolkning, då skulle verkligen behörighetslagens princip upphävas. En människas eget arbete skulle icke vara lika mycket värt, som egenskapen att för sin försörjning hava varit beroende av en annan befattningshavare i statens tjänst. | i, Herr talman, jag yrkar bifall till herr Bäcklunds reservation.</w:t>
      </w:r>
    </w:p>
    <w:p>
      <w:pPr>
        <w:pStyle w:val="Heading2"/>
      </w:pPr>
      <w:r>
        <w:t>7. Nils Winkler (Lantmanna- och borgarepartiet inom andrakammaren, man)</w:t>
      </w:r>
    </w:p>
    <w:p>
      <w:r>
        <w:rPr>
          <w:b w:val="0"/>
        </w:rPr>
        <w:t xml:space="preserve">Herr talman! Jag ber om ursäkt, att jag besvärar. — </w:t>
      </w:r>
      <w:r>
        <w:rPr>
          <w:b/>
        </w:rPr>
        <w:t>Fru²</w:t>
      </w:r>
      <w:r>
        <w:rPr>
          <w:b w:val="0"/>
        </w:rPr>
        <w:br/>
        <w:br/>
        <w:t>Östlund har helt andra principer för sitt resonemang än vad vi ha i bankoutskottet. Det förstå väl herrarna, att, om det hade funnits någon möjlighet för oss i bankoutskottet att förorda beviljandet av detta understöd, så hade vi gjort det, och när icke herr Bäcklund fått med sig en enda av de 16 ledamöterna i utskottet förstå herrarna, att motionen innefattar ett förslag, som vi icke kunnat gå med på.</w:t>
        <w:br/>
        <w:br/>
      </w:r>
      <w:r>
        <w:rPr>
          <w:b/>
        </w:rPr>
        <w:t>Fru²</w:t>
      </w:r>
      <w:r>
        <w:rPr>
          <w:b w:val="0"/>
        </w:rPr>
        <w:t xml:space="preserve"> Östlund nämnde, att det skulle vara fråga om pension. Det är icke fråga om pension. Pension skall efter vissa fastställda grunder utgå såväl till män som </w:t>
      </w:r>
      <w:r>
        <w:rPr>
          <w:b/>
        </w:rPr>
        <w:t>kvinnor¹</w:t>
      </w:r>
      <w:r>
        <w:rPr>
          <w:b w:val="0"/>
        </w:rPr>
        <w:t xml:space="preserve">, vilka äro anställda i statens tjänst. Här föreligger en av de vanliga understödsfrågorna, som skola underställas bankoutskottets prövning. Understöd lämnas i sådana fall aldrig annat än då ömmande omständigheter föreligga, ty staten har ingen skyldighet att lämna understöd varken till denna </w:t>
      </w:r>
      <w:r>
        <w:rPr>
          <w:b/>
        </w:rPr>
        <w:t>fru²</w:t>
      </w:r>
      <w:r>
        <w:rPr>
          <w:b w:val="0"/>
        </w:rPr>
        <w:t xml:space="preserve"> eller till understödssökande i liknande ställning. Jag ber få påpeka, att detta ärende i utskottet behandlats icke mindre än tre gånger och att vi fordrat in papper och utlåtanden från olika håll för att verkligen övertyga oss om huruvida det var möjligt att bevilja </w:t>
      </w:r>
      <w:r>
        <w:rPr>
          <w:b/>
        </w:rPr>
        <w:t>henne²</w:t>
      </w:r>
      <w:r>
        <w:rPr>
          <w:b w:val="0"/>
        </w:rPr>
        <w:t xml:space="preserve"> något understöd. </w:t>
      </w:r>
      <w:r>
        <w:rPr>
          <w:b/>
        </w:rPr>
        <w:t>Hon²</w:t>
      </w:r>
      <w:r>
        <w:rPr>
          <w:b w:val="0"/>
        </w:rPr>
        <w:t xml:space="preserve"> har haft en bisyssla och mannen har över 1,800 kronor i pension. De äga en liten trevlig stuga och befinna sig i jämförelsevis goda omständigheter. Jag undrar, vart det skulle taga vägen, om bankoutskottet skulle gå in för att föreslå riksdagen att bevilja understöd till </w:t>
      </w:r>
      <w:r>
        <w:rPr>
          <w:b/>
        </w:rPr>
        <w:t>kvinnor¹</w:t>
      </w:r>
      <w:r>
        <w:rPr>
          <w:b w:val="0"/>
        </w:rPr>
        <w:t>, vilkas män ha 1,800 kronor i pension.</w:t>
        <w:br/>
        <w:br/>
        <w:t xml:space="preserve">Bankoutskottet har tydligt uttalat, att utskottet visserligen icke nu kan vara med på att föreslå riksdagen att bevilja pension, men det är klart, att, om mannen dör, så kan </w:t>
      </w:r>
      <w:r>
        <w:rPr>
          <w:b/>
        </w:rPr>
        <w:t>hustrun²</w:t>
      </w:r>
      <w:r>
        <w:rPr>
          <w:b w:val="0"/>
        </w:rPr>
        <w:t xml:space="preserve"> återkomma, och då får </w:t>
      </w:r>
      <w:r>
        <w:rPr>
          <w:b/>
        </w:rPr>
        <w:t>hon²</w:t>
      </w:r>
      <w:r>
        <w:rPr>
          <w:b w:val="0"/>
        </w:rPr>
        <w:t xml:space="preserve"> så mycket större </w:t>
      </w:r>
      <w:r>
        <w:rPr>
          <w:b/>
        </w:rPr>
        <w:t>änkepension²</w:t>
      </w:r>
      <w:r>
        <w:rPr>
          <w:b w:val="0"/>
        </w:rPr>
        <w:t xml:space="preserve">, eftersom </w:t>
      </w:r>
      <w:r>
        <w:rPr>
          <w:b/>
        </w:rPr>
        <w:t>hon²</w:t>
      </w:r>
      <w:r>
        <w:rPr>
          <w:b w:val="0"/>
        </w:rPr>
        <w:t xml:space="preserve"> även själv tjänat staten. Det anser jag vara den enda riktiga taktiken, men skulle vi bevilja understöd åt personer, som hade det så bra ställt som dessa, finge vi bevilja många pensioner! </w:t>
      </w:r>
      <w:r>
        <w:rPr>
          <w:b/>
        </w:rPr>
        <w:t>Fru²</w:t>
      </w:r>
      <w:r>
        <w:rPr>
          <w:b w:val="0"/>
        </w:rPr>
        <w:t xml:space="preserve"> Östlund framhöll, att den person, det här gäller, haft 13 barn. Men. när </w:t>
      </w:r>
      <w:r>
        <w:rPr>
          <w:b/>
        </w:rPr>
        <w:t>hon²</w:t>
      </w:r>
      <w:r>
        <w:rPr>
          <w:b w:val="0"/>
        </w:rPr>
        <w:t xml:space="preserve"> är 71 år gammal, så torde väl barnen vara utflugna ur boet, så att </w:t>
      </w:r>
      <w:r>
        <w:rPr>
          <w:b/>
        </w:rPr>
        <w:t>hon²</w:t>
      </w:r>
      <w:r>
        <w:rPr>
          <w:b w:val="0"/>
        </w:rPr>
        <w:t xml:space="preserve"> inte har några bekymmer för deras uppehälle.</w:t>
        <w:br/>
        <w:br/>
        <w:t>Herr talman, jag hemställer om bifall till utskottets yrkande.</w:t>
      </w:r>
    </w:p>
    <w:p>
      <w:pPr>
        <w:pStyle w:val="Heading2"/>
      </w:pPr>
      <w:r>
        <w:t>8. Helge Bäcklund (Socialdemokraterna, man)</w:t>
      </w:r>
    </w:p>
    <w:p>
      <w:r>
        <w:rPr>
          <w:b w:val="0"/>
        </w:rPr>
        <w:t>Herr talman! Jag tror icke, att herr Winkler är med i galoppen. Principfrågan behandlas i bankoutskottets utlåtande nr 26. Herr Winkler har ju biträtt sistnämnda utlåtande, och jag är den ende reservanten. Utskottet yttrar där: »Det bör emellertid betonas, att berörda begränsningar böra avvägas främst ur synpunkten av de förpliktelser, vilka staten såsom arbetsgivare kan anses skäligen böra ikläda sig, och vid prövningen av understödsfrågorna bör alltså icke åt behovssynpunkterna såsom sådana givas utslagsgivande verkan.» Det gäller visserligen änkorna, men det rimmar i alla fall dåligt med den uppfattningen, som herr Winkler påstod, utskottet hade, att det bara vore behovsprincipen, som borde vara avgörande för en befattningshavare, som tjänat staten i 45 år. Nej, även välförhållandet till staten och det arbete, som under en så lång tid utförts, böra väl beaktas.</w:t>
        <w:br/>
        <w:br/>
        <w:t>Det är ju så i bankoutskottet liksom kanske även på andra håll, att det beror på hur man fått byxorna på sig, innan man går till utskottet, ifall man är med på någonting där eller icke. Jag har väl haft otur med min motion, eftersom bankoutskottet icke förordat bifall till densamma, men syftet i densamma torde vara precis lika rättvist för det, ty icke alla utskottets åtgöranden äro rättvisa. Det är väl ingen av utskottets ledamöter, som ens skulle vilja ifrågasätta annat än att utskottet kan hoppa på sned ibland. För all del, det händer naturligtvis, att även en reservant gör det.</w:t>
        <w:br/>
        <w:br/>
        <w:t>Jag skulle också vilja säga till herr Winkler, att vi bruka bevilja pension åt städerskor hos riksdagens verk. De ha också endast några timmars dag-</w:t>
        <w:br/>
        <w:br/>
        <w:t xml:space="preserve">Under punkt 2 i utskottets utlåtande förordas beviljande av pension med 300 kronor till en </w:t>
      </w:r>
      <w:r>
        <w:rPr>
          <w:b/>
        </w:rPr>
        <w:t>städerska³</w:t>
      </w:r>
      <w:r>
        <w:rPr>
          <w:b w:val="0"/>
        </w:rPr>
        <w:t xml:space="preserve"> med 26 tjänsteår. Då borde väl den </w:t>
      </w:r>
      <w:r>
        <w:rPr>
          <w:b/>
        </w:rPr>
        <w:t>städerska³</w:t>
      </w:r>
      <w:r>
        <w:rPr>
          <w:b w:val="0"/>
        </w:rPr>
        <w:t>, det nu är fråga om, och som har 45 tjänsteår, vara berättigad till en pension av 420 kronor.</w:t>
        <w:br/>
        <w:br/>
        <w:t>Jag tror fortfarande, herr talman, att rättvisa och billighet tala för bifall till reservationen. Jag kan icke annat, herr talman, än både slåss för reservation och yrka på att den blir antagen av andra kammaren.</w:t>
      </w:r>
    </w:p>
    <w:p>
      <w:pPr>
        <w:pStyle w:val="Heading2"/>
      </w:pPr>
      <w:r>
        <w:t>9. Lars Borggren (Socialdemokraterna, man)</w:t>
      </w:r>
    </w:p>
    <w:p>
      <w:r>
        <w:rPr>
          <w:b w:val="0"/>
        </w:rPr>
        <w:t>Det är egentligen herr Bäcklunds senaste yttrande, som uppkallat mig. Jag tror icke, att vi kunna gå med på denna motion, ty jag skall bara erinra herr Bäcklund om, att när vi för någon tid sedan behandlade frågan om pension till gamla utslitna barnmorskor, som voro ända till 70 å 75 år gamla, då yttrade herr Bäcklund till mig, att det var mitt goda hjärta, som gjorde, att jag ville, att de skulle erhålla någonting. Jag undrar, om jag icke i dag kan säga detsamma till herr Bäcklund, att det är herr Bäcklunds goda hjärta, som talar, då han i detta fall vill att pension skall beviljas. Jag vill erinra herr Bäcklund om att ingen av de gamla barnmorskorna hade någon man — åtminstone inte såvitt utskottet hade sig bekant — som hade pension på över 1,800 kronor om året. Om motsatsen ägt rum, är jag säker på att herr Bäcklund skulle ha uppträtt ännu mera kraftigt emot förslaget än han gjorde.</w:t>
        <w:br/>
        <w:br/>
        <w:t xml:space="preserve">Till </w:t>
      </w:r>
      <w:r>
        <w:rPr>
          <w:b/>
        </w:rPr>
        <w:t>fru²</w:t>
      </w:r>
      <w:r>
        <w:rPr>
          <w:b w:val="0"/>
        </w:rPr>
        <w:t xml:space="preserve"> Östlund skulle jag vilja säga, att det är alldeles klart, att vi alla äro med på att städerskorna skola ha betalt, men man måste se saken så: är det fråga om städerskor, vilka ha anställningen hos statens verk och inrättningar som sitt uteslutande levebröd, skall man naturligtvis bereda dem pension på ålderns dagar. </w:t>
      </w:r>
      <w:r>
        <w:rPr>
          <w:b/>
        </w:rPr>
        <w:t>Fru²</w:t>
      </w:r>
      <w:r>
        <w:rPr>
          <w:b w:val="0"/>
        </w:rPr>
        <w:t xml:space="preserve"> Östlund torde beakta, att det här, som jag tidigare framhållit, är fråga om arbete av tillfällig art. Jag har ju tillagt, att, om mannen går bort före </w:t>
      </w:r>
      <w:r>
        <w:rPr>
          <w:b/>
        </w:rPr>
        <w:t>hustrun²</w:t>
      </w:r>
      <w:r>
        <w:rPr>
          <w:b w:val="0"/>
        </w:rPr>
        <w:t xml:space="preserve">, så kommer riksdagen med all sannolikhet att bevilja </w:t>
      </w:r>
      <w:r>
        <w:rPr>
          <w:b/>
        </w:rPr>
        <w:t>änkan²</w:t>
      </w:r>
      <w:r>
        <w:rPr>
          <w:b w:val="0"/>
        </w:rPr>
        <w:t xml:space="preserve"> en ordentlig pension men icke eljest.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